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20" w:rsidRDefault="00D70D20" w:rsidP="004B18BE">
      <w:pPr>
        <w:jc w:val="center"/>
        <w:rPr>
          <w:b/>
          <w:sz w:val="24"/>
          <w:szCs w:val="24"/>
        </w:rPr>
      </w:pPr>
    </w:p>
    <w:p w:rsidR="00F61F85" w:rsidRPr="004B18BE" w:rsidRDefault="004B18BE" w:rsidP="004B18BE">
      <w:pPr>
        <w:jc w:val="center"/>
        <w:rPr>
          <w:b/>
          <w:sz w:val="24"/>
          <w:szCs w:val="24"/>
        </w:rPr>
      </w:pPr>
      <w:r w:rsidRPr="004B18BE">
        <w:rPr>
          <w:b/>
          <w:sz w:val="24"/>
          <w:szCs w:val="24"/>
        </w:rPr>
        <w:t>Estado Trimestral de Situación de Liquidez</w:t>
      </w:r>
    </w:p>
    <w:p w:rsidR="004B18BE" w:rsidRDefault="004B18BE" w:rsidP="004B18BE">
      <w:pPr>
        <w:jc w:val="center"/>
        <w:rPr>
          <w:b/>
          <w:sz w:val="24"/>
          <w:szCs w:val="24"/>
        </w:rPr>
      </w:pPr>
      <w:r w:rsidRPr="004B18BE">
        <w:rPr>
          <w:b/>
          <w:sz w:val="24"/>
          <w:szCs w:val="24"/>
        </w:rPr>
        <w:t xml:space="preserve">Al </w:t>
      </w:r>
      <w:r w:rsidR="00550932">
        <w:rPr>
          <w:b/>
          <w:sz w:val="24"/>
          <w:szCs w:val="24"/>
        </w:rPr>
        <w:t>3</w:t>
      </w:r>
      <w:r w:rsidR="00CF79FE">
        <w:rPr>
          <w:b/>
          <w:sz w:val="24"/>
          <w:szCs w:val="24"/>
        </w:rPr>
        <w:t>0</w:t>
      </w:r>
      <w:r w:rsidR="00C54BFC">
        <w:rPr>
          <w:b/>
          <w:sz w:val="24"/>
          <w:szCs w:val="24"/>
        </w:rPr>
        <w:t xml:space="preserve"> </w:t>
      </w:r>
      <w:r w:rsidR="008B0526">
        <w:rPr>
          <w:b/>
          <w:sz w:val="24"/>
          <w:szCs w:val="24"/>
        </w:rPr>
        <w:t xml:space="preserve">de </w:t>
      </w:r>
      <w:r w:rsidR="00CF79FE">
        <w:rPr>
          <w:b/>
          <w:sz w:val="24"/>
          <w:szCs w:val="24"/>
        </w:rPr>
        <w:t>Junio</w:t>
      </w:r>
      <w:r w:rsidR="008B0526">
        <w:rPr>
          <w:b/>
          <w:sz w:val="24"/>
          <w:szCs w:val="24"/>
        </w:rPr>
        <w:t xml:space="preserve"> de</w:t>
      </w:r>
      <w:r w:rsidR="00E877CE">
        <w:rPr>
          <w:b/>
          <w:sz w:val="24"/>
          <w:szCs w:val="24"/>
        </w:rPr>
        <w:t xml:space="preserve"> 2020</w:t>
      </w:r>
    </w:p>
    <w:p w:rsidR="004B18BE" w:rsidRDefault="004B18BE" w:rsidP="004B18BE">
      <w:pPr>
        <w:jc w:val="center"/>
        <w:rPr>
          <w:b/>
          <w:sz w:val="24"/>
          <w:szCs w:val="24"/>
        </w:rPr>
      </w:pPr>
    </w:p>
    <w:p w:rsidR="004B18BE" w:rsidRPr="004B18BE" w:rsidRDefault="004B18BE" w:rsidP="004B18BE">
      <w:pPr>
        <w:jc w:val="both"/>
        <w:rPr>
          <w:b/>
          <w:sz w:val="24"/>
          <w:szCs w:val="24"/>
          <w:u w:val="single"/>
        </w:rPr>
      </w:pPr>
      <w:r w:rsidRPr="004B18BE">
        <w:rPr>
          <w:b/>
          <w:sz w:val="24"/>
          <w:szCs w:val="24"/>
          <w:u w:val="single"/>
        </w:rPr>
        <w:t xml:space="preserve">Control y </w:t>
      </w:r>
      <w:r w:rsidR="00FF1232">
        <w:rPr>
          <w:b/>
          <w:sz w:val="24"/>
          <w:szCs w:val="24"/>
          <w:u w:val="single"/>
        </w:rPr>
        <w:t>P</w:t>
      </w:r>
      <w:r w:rsidRPr="004B18BE">
        <w:rPr>
          <w:b/>
          <w:sz w:val="24"/>
          <w:szCs w:val="24"/>
          <w:u w:val="single"/>
        </w:rPr>
        <w:t>ublicación de la Situación de Liquidez:</w:t>
      </w:r>
    </w:p>
    <w:p w:rsidR="004B18BE" w:rsidRDefault="006710DA" w:rsidP="004B18BE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a lo dispuesto por el B</w:t>
      </w:r>
      <w:r w:rsidR="004B18BE" w:rsidRPr="004B18BE">
        <w:rPr>
          <w:sz w:val="24"/>
          <w:szCs w:val="24"/>
        </w:rPr>
        <w:t>anco Cent</w:t>
      </w:r>
      <w:r w:rsidR="006001BE">
        <w:rPr>
          <w:sz w:val="24"/>
          <w:szCs w:val="24"/>
        </w:rPr>
        <w:t>ral de Chile en el capítulo III.</w:t>
      </w:r>
      <w:r w:rsidR="004B18BE" w:rsidRPr="004B18BE">
        <w:rPr>
          <w:sz w:val="24"/>
          <w:szCs w:val="24"/>
        </w:rPr>
        <w:t>B.2.1 del Compendio de Normas Financieras</w:t>
      </w:r>
      <w:r w:rsidR="004B18BE">
        <w:rPr>
          <w:sz w:val="24"/>
          <w:szCs w:val="24"/>
        </w:rPr>
        <w:t xml:space="preserve"> y el capítulo 12-20</w:t>
      </w:r>
      <w:r w:rsidR="001C5EE9">
        <w:rPr>
          <w:sz w:val="24"/>
          <w:szCs w:val="24"/>
        </w:rPr>
        <w:t xml:space="preserve"> sobre la Gestión y Medición de la Posición de Liquidez</w:t>
      </w:r>
      <w:r w:rsidR="0098078E">
        <w:rPr>
          <w:sz w:val="24"/>
          <w:szCs w:val="24"/>
        </w:rPr>
        <w:t xml:space="preserve"> de la R</w:t>
      </w:r>
      <w:r w:rsidR="004B18BE">
        <w:rPr>
          <w:sz w:val="24"/>
          <w:szCs w:val="24"/>
        </w:rPr>
        <w:t xml:space="preserve">ecopilación Actualizada de Normas de la </w:t>
      </w:r>
      <w:r w:rsidR="0000260B">
        <w:rPr>
          <w:sz w:val="24"/>
          <w:szCs w:val="24"/>
        </w:rPr>
        <w:t>Comisión para el Mercado Financiero (CMF)</w:t>
      </w:r>
      <w:r w:rsidR="001C5EE9">
        <w:rPr>
          <w:sz w:val="24"/>
          <w:szCs w:val="24"/>
        </w:rPr>
        <w:t xml:space="preserve">, la </w:t>
      </w:r>
      <w:r w:rsidR="00384FE9">
        <w:rPr>
          <w:sz w:val="24"/>
          <w:szCs w:val="24"/>
        </w:rPr>
        <w:t>S</w:t>
      </w:r>
      <w:r>
        <w:rPr>
          <w:sz w:val="24"/>
          <w:szCs w:val="24"/>
        </w:rPr>
        <w:t>ituación</w:t>
      </w:r>
      <w:r w:rsidR="001C5EE9">
        <w:rPr>
          <w:sz w:val="24"/>
          <w:szCs w:val="24"/>
        </w:rPr>
        <w:t xml:space="preserve"> </w:t>
      </w:r>
      <w:r w:rsidR="00384FE9">
        <w:rPr>
          <w:sz w:val="24"/>
          <w:szCs w:val="24"/>
        </w:rPr>
        <w:t>T</w:t>
      </w:r>
      <w:r w:rsidR="001C5EE9">
        <w:rPr>
          <w:sz w:val="24"/>
          <w:szCs w:val="24"/>
        </w:rPr>
        <w:t xml:space="preserve">rimestral </w:t>
      </w:r>
      <w:r>
        <w:rPr>
          <w:sz w:val="24"/>
          <w:szCs w:val="24"/>
        </w:rPr>
        <w:t xml:space="preserve">de </w:t>
      </w:r>
      <w:r w:rsidR="00384FE9">
        <w:rPr>
          <w:sz w:val="24"/>
          <w:szCs w:val="24"/>
        </w:rPr>
        <w:t>L</w:t>
      </w:r>
      <w:r>
        <w:rPr>
          <w:sz w:val="24"/>
          <w:szCs w:val="24"/>
        </w:rPr>
        <w:t xml:space="preserve">iquidez </w:t>
      </w:r>
      <w:r w:rsidR="00A7023D">
        <w:rPr>
          <w:sz w:val="24"/>
          <w:szCs w:val="24"/>
        </w:rPr>
        <w:t>está</w:t>
      </w:r>
      <w:r w:rsidR="00384FE9">
        <w:rPr>
          <w:sz w:val="24"/>
          <w:szCs w:val="24"/>
        </w:rPr>
        <w:t xml:space="preserve"> determinada de acuerdo a los siguientes criterios:</w:t>
      </w:r>
    </w:p>
    <w:p w:rsidR="00703B33" w:rsidRDefault="00703B33" w:rsidP="004B18BE">
      <w:pPr>
        <w:jc w:val="both"/>
        <w:rPr>
          <w:b/>
          <w:sz w:val="24"/>
          <w:szCs w:val="24"/>
          <w:u w:val="single"/>
        </w:rPr>
      </w:pPr>
    </w:p>
    <w:p w:rsidR="001C5EE9" w:rsidRDefault="001C5EE9" w:rsidP="004B18BE">
      <w:pPr>
        <w:jc w:val="both"/>
        <w:rPr>
          <w:b/>
          <w:sz w:val="24"/>
          <w:szCs w:val="24"/>
          <w:u w:val="single"/>
        </w:rPr>
      </w:pPr>
      <w:r w:rsidRPr="001C5EE9">
        <w:rPr>
          <w:b/>
          <w:sz w:val="24"/>
          <w:szCs w:val="24"/>
          <w:u w:val="single"/>
        </w:rPr>
        <w:t>Posición de liquidez y su medición:</w:t>
      </w:r>
    </w:p>
    <w:p w:rsidR="0099069F" w:rsidRDefault="0092239B" w:rsidP="00703B33">
      <w:pPr>
        <w:jc w:val="both"/>
        <w:rPr>
          <w:sz w:val="24"/>
          <w:szCs w:val="24"/>
        </w:rPr>
      </w:pPr>
      <w:r w:rsidRPr="0034332A">
        <w:rPr>
          <w:sz w:val="24"/>
          <w:szCs w:val="24"/>
        </w:rPr>
        <w:t xml:space="preserve">La posición de liquidez se </w:t>
      </w:r>
      <w:r w:rsidR="0034332A">
        <w:rPr>
          <w:sz w:val="24"/>
          <w:szCs w:val="24"/>
        </w:rPr>
        <w:t>mide</w:t>
      </w:r>
      <w:r w:rsidRPr="0034332A">
        <w:rPr>
          <w:sz w:val="24"/>
          <w:szCs w:val="24"/>
        </w:rPr>
        <w:t xml:space="preserve"> y controla a través de la diferencia entre los flujos de</w:t>
      </w:r>
      <w:r w:rsidRPr="00703B33">
        <w:rPr>
          <w:sz w:val="24"/>
          <w:szCs w:val="24"/>
        </w:rPr>
        <w:t xml:space="preserve"> </w:t>
      </w:r>
      <w:r w:rsidRPr="0034332A">
        <w:rPr>
          <w:sz w:val="24"/>
          <w:szCs w:val="24"/>
        </w:rPr>
        <w:t>efectivo por pagar, asociados a partidas del pasivo y de cuentas de resultados de gastos</w:t>
      </w:r>
      <w:r w:rsidR="0034332A" w:rsidRPr="0034332A">
        <w:rPr>
          <w:sz w:val="24"/>
          <w:szCs w:val="24"/>
        </w:rPr>
        <w:t>; y de efectivo por cobrar, que están asociados a partidas del activo y de cuentas de</w:t>
      </w:r>
      <w:r w:rsidR="0034332A">
        <w:rPr>
          <w:sz w:val="24"/>
          <w:szCs w:val="24"/>
        </w:rPr>
        <w:t xml:space="preserve"> ingresos, para un det</w:t>
      </w:r>
      <w:r w:rsidR="00A351C2">
        <w:rPr>
          <w:sz w:val="24"/>
          <w:szCs w:val="24"/>
        </w:rPr>
        <w:t xml:space="preserve">erminado plazo o banda temporal. La diferencia positiva entre los pasivos y los activos se denomina descalce </w:t>
      </w:r>
      <w:r w:rsidR="0034332A">
        <w:rPr>
          <w:sz w:val="24"/>
          <w:szCs w:val="24"/>
        </w:rPr>
        <w:t>de plazos</w:t>
      </w:r>
      <w:r w:rsidR="00D0197D">
        <w:rPr>
          <w:sz w:val="24"/>
          <w:szCs w:val="24"/>
        </w:rPr>
        <w:t>, el que está</w:t>
      </w:r>
      <w:r w:rsidR="00A351C2">
        <w:rPr>
          <w:sz w:val="24"/>
          <w:szCs w:val="24"/>
        </w:rPr>
        <w:t xml:space="preserve"> afecto a los límites permitidos por el Banco Central</w:t>
      </w:r>
      <w:r w:rsidR="0034332A">
        <w:rPr>
          <w:sz w:val="24"/>
          <w:szCs w:val="24"/>
        </w:rPr>
        <w:t>.</w:t>
      </w:r>
      <w:r w:rsidR="0099069F" w:rsidRPr="0099069F">
        <w:rPr>
          <w:sz w:val="24"/>
          <w:szCs w:val="24"/>
        </w:rPr>
        <w:t xml:space="preserve"> </w:t>
      </w:r>
    </w:p>
    <w:p w:rsidR="0099069F" w:rsidRPr="00FC4CCB" w:rsidRDefault="0099069F" w:rsidP="00703B33">
      <w:pPr>
        <w:jc w:val="both"/>
        <w:rPr>
          <w:sz w:val="24"/>
          <w:szCs w:val="24"/>
        </w:rPr>
      </w:pPr>
      <w:r w:rsidRPr="00FC4CCB">
        <w:rPr>
          <w:sz w:val="24"/>
          <w:szCs w:val="24"/>
        </w:rPr>
        <w:t xml:space="preserve">La posición de liquidez se determina sobre base contractual de acuerdo con la </w:t>
      </w:r>
      <w:r>
        <w:rPr>
          <w:sz w:val="24"/>
          <w:szCs w:val="24"/>
        </w:rPr>
        <w:t>P</w:t>
      </w:r>
      <w:r w:rsidR="00267AA2">
        <w:rPr>
          <w:sz w:val="24"/>
          <w:szCs w:val="24"/>
        </w:rPr>
        <w:t xml:space="preserve">olítica de Administración </w:t>
      </w:r>
      <w:r>
        <w:rPr>
          <w:sz w:val="24"/>
          <w:szCs w:val="24"/>
        </w:rPr>
        <w:t>de L</w:t>
      </w:r>
      <w:r w:rsidRPr="00FC4CCB">
        <w:rPr>
          <w:sz w:val="24"/>
          <w:szCs w:val="24"/>
        </w:rPr>
        <w:t xml:space="preserve">iquidez </w:t>
      </w:r>
      <w:r>
        <w:rPr>
          <w:sz w:val="24"/>
          <w:szCs w:val="24"/>
        </w:rPr>
        <w:t>aprobada por el Comité Ejecutivo del B</w:t>
      </w:r>
      <w:r w:rsidRPr="00FC4CCB">
        <w:rPr>
          <w:sz w:val="24"/>
          <w:szCs w:val="24"/>
        </w:rPr>
        <w:t xml:space="preserve">anco. </w:t>
      </w:r>
    </w:p>
    <w:p w:rsidR="001C5EE9" w:rsidRDefault="001C5EE9" w:rsidP="0099069F">
      <w:pPr>
        <w:jc w:val="both"/>
        <w:rPr>
          <w:sz w:val="24"/>
          <w:szCs w:val="24"/>
        </w:rPr>
      </w:pPr>
    </w:p>
    <w:p w:rsidR="0034332A" w:rsidRPr="0034332A" w:rsidRDefault="00A351C2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="0034332A" w:rsidRPr="0034332A">
        <w:rPr>
          <w:b/>
          <w:sz w:val="24"/>
          <w:szCs w:val="24"/>
          <w:u w:val="single"/>
        </w:rPr>
        <w:t>andas temporales</w:t>
      </w:r>
    </w:p>
    <w:p w:rsidR="0034332A" w:rsidRDefault="0034332A" w:rsidP="0099069F">
      <w:pPr>
        <w:spacing w:after="0" w:line="240" w:lineRule="auto"/>
        <w:jc w:val="both"/>
        <w:rPr>
          <w:sz w:val="24"/>
          <w:szCs w:val="24"/>
        </w:rPr>
      </w:pPr>
    </w:p>
    <w:p w:rsidR="0034332A" w:rsidRPr="0034332A" w:rsidRDefault="0034332A" w:rsidP="00703B33">
      <w:pPr>
        <w:jc w:val="both"/>
        <w:rPr>
          <w:sz w:val="24"/>
          <w:szCs w:val="24"/>
        </w:rPr>
      </w:pPr>
      <w:r w:rsidRPr="0034332A">
        <w:rPr>
          <w:sz w:val="24"/>
          <w:szCs w:val="24"/>
        </w:rPr>
        <w:t xml:space="preserve">Los descalce de plazos </w:t>
      </w:r>
      <w:r w:rsidR="00A351C2">
        <w:rPr>
          <w:sz w:val="24"/>
          <w:szCs w:val="24"/>
        </w:rPr>
        <w:t>se determinan para l</w:t>
      </w:r>
      <w:r w:rsidRPr="0034332A">
        <w:rPr>
          <w:sz w:val="24"/>
          <w:szCs w:val="24"/>
        </w:rPr>
        <w:t>as siguientes bandas temporales</w:t>
      </w:r>
      <w:r w:rsidR="00544BEC">
        <w:rPr>
          <w:sz w:val="24"/>
          <w:szCs w:val="24"/>
        </w:rPr>
        <w:t>:</w:t>
      </w:r>
    </w:p>
    <w:p w:rsidR="0034332A" w:rsidRPr="00513EF9" w:rsidRDefault="0034332A" w:rsidP="00703B33">
      <w:pPr>
        <w:jc w:val="both"/>
        <w:rPr>
          <w:sz w:val="24"/>
          <w:szCs w:val="24"/>
        </w:rPr>
      </w:pPr>
      <w:r w:rsidRPr="00513EF9">
        <w:rPr>
          <w:sz w:val="24"/>
          <w:szCs w:val="24"/>
        </w:rPr>
        <w:t>Primera banda temporal: hasta 7 días</w:t>
      </w:r>
      <w:r w:rsidR="00513EF9">
        <w:rPr>
          <w:sz w:val="24"/>
          <w:szCs w:val="24"/>
        </w:rPr>
        <w:t>.</w:t>
      </w:r>
    </w:p>
    <w:p w:rsidR="0034332A" w:rsidRDefault="0034332A" w:rsidP="00703B33">
      <w:pPr>
        <w:jc w:val="both"/>
        <w:rPr>
          <w:sz w:val="24"/>
          <w:szCs w:val="24"/>
        </w:rPr>
      </w:pPr>
      <w:r w:rsidRPr="00513EF9">
        <w:rPr>
          <w:sz w:val="24"/>
          <w:szCs w:val="24"/>
        </w:rPr>
        <w:t xml:space="preserve">Segunda banda temporal: desde 8 días y hasta </w:t>
      </w:r>
      <w:r w:rsidR="0057255C">
        <w:rPr>
          <w:sz w:val="24"/>
          <w:szCs w:val="24"/>
        </w:rPr>
        <w:t>30</w:t>
      </w:r>
      <w:r w:rsidR="0057255C" w:rsidRPr="00513EF9">
        <w:rPr>
          <w:sz w:val="24"/>
          <w:szCs w:val="24"/>
        </w:rPr>
        <w:t xml:space="preserve"> </w:t>
      </w:r>
      <w:r w:rsidRPr="00513EF9">
        <w:rPr>
          <w:sz w:val="24"/>
          <w:szCs w:val="24"/>
        </w:rPr>
        <w:t>días</w:t>
      </w:r>
      <w:r w:rsidR="00513EF9">
        <w:rPr>
          <w:sz w:val="24"/>
          <w:szCs w:val="24"/>
        </w:rPr>
        <w:t>.</w:t>
      </w:r>
    </w:p>
    <w:p w:rsidR="00FC4CCB" w:rsidRDefault="0057255C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Tercera </w:t>
      </w:r>
      <w:r w:rsidR="0034332A" w:rsidRPr="00513EF9">
        <w:rPr>
          <w:sz w:val="24"/>
          <w:szCs w:val="24"/>
        </w:rPr>
        <w:t>banda temporal: desde 31 días y hasta 90 días</w:t>
      </w:r>
      <w:r w:rsidR="00513EF9">
        <w:rPr>
          <w:sz w:val="24"/>
          <w:szCs w:val="24"/>
        </w:rPr>
        <w:t>.</w:t>
      </w:r>
    </w:p>
    <w:p w:rsidR="00513EF9" w:rsidRDefault="00513EF9" w:rsidP="0099069F">
      <w:pPr>
        <w:spacing w:after="0" w:line="240" w:lineRule="auto"/>
        <w:jc w:val="both"/>
        <w:rPr>
          <w:sz w:val="24"/>
          <w:szCs w:val="24"/>
        </w:rPr>
      </w:pPr>
    </w:p>
    <w:p w:rsidR="00703B33" w:rsidRDefault="00703B33" w:rsidP="0099069F">
      <w:pPr>
        <w:spacing w:after="0" w:line="240" w:lineRule="auto"/>
        <w:jc w:val="both"/>
        <w:rPr>
          <w:sz w:val="24"/>
          <w:szCs w:val="24"/>
        </w:rPr>
      </w:pPr>
    </w:p>
    <w:p w:rsidR="00455DCD" w:rsidRDefault="00455DCD" w:rsidP="0099069F">
      <w:pPr>
        <w:spacing w:after="0" w:line="240" w:lineRule="auto"/>
        <w:jc w:val="both"/>
        <w:rPr>
          <w:sz w:val="24"/>
          <w:szCs w:val="24"/>
        </w:rPr>
      </w:pPr>
    </w:p>
    <w:p w:rsidR="00703B33" w:rsidRDefault="00703B33" w:rsidP="0099069F">
      <w:pPr>
        <w:spacing w:after="0" w:line="240" w:lineRule="auto"/>
        <w:jc w:val="both"/>
        <w:rPr>
          <w:sz w:val="24"/>
          <w:szCs w:val="24"/>
        </w:rPr>
      </w:pPr>
    </w:p>
    <w:p w:rsidR="00FC4CCB" w:rsidRDefault="00FC4CCB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Política de</w:t>
      </w:r>
      <w:r w:rsidR="0040663D">
        <w:rPr>
          <w:b/>
          <w:sz w:val="24"/>
          <w:szCs w:val="24"/>
          <w:u w:val="single"/>
        </w:rPr>
        <w:t xml:space="preserve"> Administración de la </w:t>
      </w:r>
      <w:r>
        <w:rPr>
          <w:b/>
          <w:sz w:val="24"/>
          <w:szCs w:val="24"/>
          <w:u w:val="single"/>
        </w:rPr>
        <w:t>Liquidez</w:t>
      </w:r>
    </w:p>
    <w:p w:rsidR="00FC4CCB" w:rsidRDefault="00FC4CCB" w:rsidP="0099069F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C4CCB" w:rsidRDefault="00461736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>La Política de</w:t>
      </w:r>
      <w:r w:rsidR="0015556E">
        <w:rPr>
          <w:sz w:val="24"/>
          <w:szCs w:val="24"/>
        </w:rPr>
        <w:t xml:space="preserve"> Administración de la</w:t>
      </w:r>
      <w:r>
        <w:rPr>
          <w:sz w:val="24"/>
          <w:szCs w:val="24"/>
        </w:rPr>
        <w:t xml:space="preserve"> Liquidez del B</w:t>
      </w:r>
      <w:r w:rsidR="0099069F">
        <w:rPr>
          <w:sz w:val="24"/>
          <w:szCs w:val="24"/>
        </w:rPr>
        <w:t xml:space="preserve">anco tiene como objetivo proporcionar un marco </w:t>
      </w:r>
      <w:r w:rsidR="0099069F" w:rsidRPr="0099069F">
        <w:rPr>
          <w:sz w:val="24"/>
          <w:szCs w:val="24"/>
        </w:rPr>
        <w:t>para la gestión de su liquidez y para el mantenimiento de suficientes activos líquidos, tanto en circunstancias normales como anormales.</w:t>
      </w:r>
    </w:p>
    <w:p w:rsidR="000B0BE1" w:rsidRDefault="000B0BE1" w:rsidP="00703B33">
      <w:pPr>
        <w:jc w:val="both"/>
        <w:rPr>
          <w:sz w:val="24"/>
          <w:szCs w:val="24"/>
        </w:rPr>
      </w:pPr>
      <w:r w:rsidRPr="000B0BE1">
        <w:rPr>
          <w:sz w:val="24"/>
          <w:szCs w:val="24"/>
        </w:rPr>
        <w:t xml:space="preserve">El Banco adopta un enfoque de flujos de efectivo para medir el riesgo de liquidez, y tiene un marco sólido para la proyección de flujos de efectivo futuros </w:t>
      </w:r>
      <w:r w:rsidR="007F6F0F">
        <w:rPr>
          <w:rFonts w:eastAsiaTheme="minorHAnsi"/>
          <w:sz w:val="24"/>
          <w:szCs w:val="24"/>
          <w:lang w:val="es-ES"/>
        </w:rPr>
        <w:t xml:space="preserve">generados por los </w:t>
      </w:r>
      <w:r w:rsidRPr="000B0BE1">
        <w:rPr>
          <w:sz w:val="24"/>
          <w:szCs w:val="24"/>
        </w:rPr>
        <w:t>activos, pasivos y partidas fuera del balance general, en diferentes horizontes de tiempo.</w:t>
      </w:r>
      <w:r>
        <w:rPr>
          <w:sz w:val="24"/>
          <w:szCs w:val="24"/>
        </w:rPr>
        <w:t xml:space="preserve"> </w:t>
      </w:r>
      <w:r w:rsidRPr="000B0BE1">
        <w:rPr>
          <w:sz w:val="24"/>
          <w:szCs w:val="24"/>
        </w:rPr>
        <w:t>Asimismo, el banco realiza trimestralmente pruebas de tensión con el fin de evaluar el</w:t>
      </w:r>
      <w:r w:rsidR="001E4524">
        <w:rPr>
          <w:sz w:val="24"/>
          <w:szCs w:val="24"/>
        </w:rPr>
        <w:t xml:space="preserve"> impacto de escenarios extremos en su posición de liquidez.</w:t>
      </w:r>
    </w:p>
    <w:p w:rsidR="000B0BE1" w:rsidRDefault="000B0BE1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Banco monitorea su </w:t>
      </w:r>
      <w:r w:rsidR="001E4524">
        <w:rPr>
          <w:sz w:val="24"/>
          <w:szCs w:val="24"/>
        </w:rPr>
        <w:t xml:space="preserve">posición de </w:t>
      </w:r>
      <w:r>
        <w:rPr>
          <w:sz w:val="24"/>
          <w:szCs w:val="24"/>
        </w:rPr>
        <w:t>liquidez de forma diaria y, además de los límites normativos, cuenta con una estructura de límites internos e indicadores de alerta temprana asociados a la concentración de fuentes de financiamiento, a la disponibilidad de activos líquidos de alta calidad y a la existencia de suficientes fuentes de financiamiento estable.</w:t>
      </w:r>
    </w:p>
    <w:p w:rsidR="000B0BE1" w:rsidRDefault="000B0BE1" w:rsidP="00703B33">
      <w:pPr>
        <w:jc w:val="both"/>
        <w:rPr>
          <w:sz w:val="24"/>
          <w:szCs w:val="24"/>
        </w:rPr>
      </w:pPr>
      <w:r>
        <w:rPr>
          <w:sz w:val="24"/>
          <w:szCs w:val="24"/>
        </w:rPr>
        <w:t>La Política de Liquidez</w:t>
      </w:r>
      <w:r w:rsidR="00CB4043">
        <w:rPr>
          <w:sz w:val="24"/>
          <w:szCs w:val="24"/>
        </w:rPr>
        <w:t xml:space="preserve"> se revisa y actualiza por lo menos una vez al año y sus contenidos son aprobados por el Comité Ejecutivo del Banco.</w:t>
      </w:r>
    </w:p>
    <w:p w:rsidR="00DE5980" w:rsidRDefault="00DE59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332A" w:rsidRDefault="00D70D20" w:rsidP="00B128FF">
      <w:pPr>
        <w:jc w:val="center"/>
        <w:rPr>
          <w:b/>
          <w:sz w:val="24"/>
          <w:szCs w:val="24"/>
        </w:rPr>
      </w:pPr>
      <w:r w:rsidRPr="00B128FF">
        <w:rPr>
          <w:b/>
          <w:sz w:val="24"/>
          <w:szCs w:val="24"/>
        </w:rPr>
        <w:lastRenderedPageBreak/>
        <w:t>ESTADO TRIMESTRAL DE SITUACI</w:t>
      </w:r>
      <w:r w:rsidR="001A113C">
        <w:rPr>
          <w:b/>
          <w:sz w:val="24"/>
          <w:szCs w:val="24"/>
        </w:rPr>
        <w:t>Ó</w:t>
      </w:r>
      <w:r w:rsidRPr="00B128FF">
        <w:rPr>
          <w:b/>
          <w:sz w:val="24"/>
          <w:szCs w:val="24"/>
        </w:rPr>
        <w:t>N DE LIQUIDEZ</w:t>
      </w:r>
    </w:p>
    <w:p w:rsidR="00B0440C" w:rsidRDefault="00EC424B" w:rsidP="00B128FF">
      <w:pPr>
        <w:jc w:val="center"/>
        <w:rPr>
          <w:b/>
          <w:sz w:val="24"/>
          <w:szCs w:val="24"/>
        </w:rPr>
      </w:pPr>
      <w:r w:rsidRPr="00EC424B">
        <w:drawing>
          <wp:inline distT="0" distB="0" distL="0" distR="0" wp14:anchorId="293490D7" wp14:editId="60A5544E">
            <wp:extent cx="5941060" cy="3159923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5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98" w:rsidRDefault="00B91998" w:rsidP="00B128FF">
      <w:pPr>
        <w:jc w:val="center"/>
        <w:rPr>
          <w:b/>
          <w:sz w:val="24"/>
          <w:szCs w:val="24"/>
        </w:rPr>
      </w:pPr>
    </w:p>
    <w:p w:rsidR="00480FBC" w:rsidRDefault="00480FBC" w:rsidP="00B128FF">
      <w:pPr>
        <w:jc w:val="center"/>
        <w:rPr>
          <w:b/>
          <w:sz w:val="24"/>
          <w:szCs w:val="24"/>
        </w:rPr>
      </w:pPr>
    </w:p>
    <w:p w:rsidR="00CA2541" w:rsidRPr="004B18BE" w:rsidRDefault="00CF79FE" w:rsidP="00B66908">
      <w:pPr>
        <w:rPr>
          <w:b/>
          <w:sz w:val="24"/>
          <w:szCs w:val="24"/>
        </w:rPr>
      </w:pPr>
      <w:r w:rsidRPr="00CF79FE">
        <w:rPr>
          <w:noProof/>
          <w:lang w:eastAsia="es-CL"/>
        </w:rPr>
        <w:drawing>
          <wp:inline distT="0" distB="0" distL="0" distR="0">
            <wp:extent cx="3122763" cy="2777229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81" cy="277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541" w:rsidRPr="004B18BE" w:rsidSect="00455DCD">
      <w:headerReference w:type="defaul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A4" w:rsidRDefault="004F1DA4" w:rsidP="00D70D20">
      <w:pPr>
        <w:spacing w:after="0" w:line="240" w:lineRule="auto"/>
      </w:pPr>
      <w:r>
        <w:separator/>
      </w:r>
    </w:p>
  </w:endnote>
  <w:endnote w:type="continuationSeparator" w:id="0">
    <w:p w:rsidR="004F1DA4" w:rsidRDefault="004F1DA4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A4" w:rsidRDefault="004F1DA4" w:rsidP="00D70D20">
      <w:pPr>
        <w:spacing w:after="0" w:line="240" w:lineRule="auto"/>
      </w:pPr>
      <w:r>
        <w:separator/>
      </w:r>
    </w:p>
  </w:footnote>
  <w:footnote w:type="continuationSeparator" w:id="0">
    <w:p w:rsidR="004F1DA4" w:rsidRDefault="004F1DA4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26" w:rsidRDefault="008B0526" w:rsidP="00B93EAE">
    <w:pPr>
      <w:pStyle w:val="Header"/>
    </w:pPr>
    <w:r>
      <w:rPr>
        <w:noProof/>
        <w:lang w:eastAsia="es-CL"/>
      </w:rPr>
      <w:drawing>
        <wp:inline distT="0" distB="0" distL="0" distR="0" wp14:anchorId="3A7C5140" wp14:editId="4E45E8B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0260B"/>
    <w:rsid w:val="0001476F"/>
    <w:rsid w:val="0004110C"/>
    <w:rsid w:val="00047361"/>
    <w:rsid w:val="00077ED7"/>
    <w:rsid w:val="000B0BE1"/>
    <w:rsid w:val="000D1C16"/>
    <w:rsid w:val="000E63B7"/>
    <w:rsid w:val="0015556E"/>
    <w:rsid w:val="00197E94"/>
    <w:rsid w:val="001A113C"/>
    <w:rsid w:val="001A6F34"/>
    <w:rsid w:val="001C5EE9"/>
    <w:rsid w:val="001E4524"/>
    <w:rsid w:val="00201095"/>
    <w:rsid w:val="00267AA2"/>
    <w:rsid w:val="00273C2C"/>
    <w:rsid w:val="00276113"/>
    <w:rsid w:val="0034332A"/>
    <w:rsid w:val="00350C3C"/>
    <w:rsid w:val="00374A9F"/>
    <w:rsid w:val="00382994"/>
    <w:rsid w:val="00384FE9"/>
    <w:rsid w:val="00385F90"/>
    <w:rsid w:val="00393B23"/>
    <w:rsid w:val="003A5AF7"/>
    <w:rsid w:val="003D1479"/>
    <w:rsid w:val="003F6720"/>
    <w:rsid w:val="0040663D"/>
    <w:rsid w:val="00434A16"/>
    <w:rsid w:val="00450389"/>
    <w:rsid w:val="00455DCD"/>
    <w:rsid w:val="00461736"/>
    <w:rsid w:val="00480FBC"/>
    <w:rsid w:val="004B18BE"/>
    <w:rsid w:val="004D5C29"/>
    <w:rsid w:val="004E1F16"/>
    <w:rsid w:val="004F1DA4"/>
    <w:rsid w:val="004F4A2F"/>
    <w:rsid w:val="00513EF9"/>
    <w:rsid w:val="0053504A"/>
    <w:rsid w:val="00544BEC"/>
    <w:rsid w:val="00550932"/>
    <w:rsid w:val="0057255C"/>
    <w:rsid w:val="00590A53"/>
    <w:rsid w:val="006001BE"/>
    <w:rsid w:val="006710DA"/>
    <w:rsid w:val="006E7BF7"/>
    <w:rsid w:val="00703B33"/>
    <w:rsid w:val="00704971"/>
    <w:rsid w:val="007C5C53"/>
    <w:rsid w:val="007F6C64"/>
    <w:rsid w:val="007F6F0F"/>
    <w:rsid w:val="00827CF7"/>
    <w:rsid w:val="00887396"/>
    <w:rsid w:val="008B0526"/>
    <w:rsid w:val="008E290E"/>
    <w:rsid w:val="0092239B"/>
    <w:rsid w:val="00947E01"/>
    <w:rsid w:val="009547F5"/>
    <w:rsid w:val="0098078E"/>
    <w:rsid w:val="0099069F"/>
    <w:rsid w:val="009C1A97"/>
    <w:rsid w:val="009C35D1"/>
    <w:rsid w:val="00A351C2"/>
    <w:rsid w:val="00A362E2"/>
    <w:rsid w:val="00A5657C"/>
    <w:rsid w:val="00A7023D"/>
    <w:rsid w:val="00AA780E"/>
    <w:rsid w:val="00AE6943"/>
    <w:rsid w:val="00AF1452"/>
    <w:rsid w:val="00AF68E1"/>
    <w:rsid w:val="00B0440C"/>
    <w:rsid w:val="00B128FF"/>
    <w:rsid w:val="00B2260A"/>
    <w:rsid w:val="00B42ACE"/>
    <w:rsid w:val="00B66908"/>
    <w:rsid w:val="00B91998"/>
    <w:rsid w:val="00B93EAE"/>
    <w:rsid w:val="00BC1771"/>
    <w:rsid w:val="00BD4546"/>
    <w:rsid w:val="00C04198"/>
    <w:rsid w:val="00C43694"/>
    <w:rsid w:val="00C54BFC"/>
    <w:rsid w:val="00C84597"/>
    <w:rsid w:val="00CA2541"/>
    <w:rsid w:val="00CB0C89"/>
    <w:rsid w:val="00CB4043"/>
    <w:rsid w:val="00CF79FE"/>
    <w:rsid w:val="00D0197D"/>
    <w:rsid w:val="00D70D20"/>
    <w:rsid w:val="00DB69D4"/>
    <w:rsid w:val="00DE5980"/>
    <w:rsid w:val="00E00DE2"/>
    <w:rsid w:val="00E21BA6"/>
    <w:rsid w:val="00E60595"/>
    <w:rsid w:val="00E877CE"/>
    <w:rsid w:val="00EB74F2"/>
    <w:rsid w:val="00EC424B"/>
    <w:rsid w:val="00EE7C36"/>
    <w:rsid w:val="00F33B04"/>
    <w:rsid w:val="00F420B4"/>
    <w:rsid w:val="00F549B1"/>
    <w:rsid w:val="00F54B2A"/>
    <w:rsid w:val="00F61F85"/>
    <w:rsid w:val="00F6660C"/>
    <w:rsid w:val="00F870B2"/>
    <w:rsid w:val="00FB233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2DBD-41FC-46D1-865D-4EA5131C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3</cp:revision>
  <cp:lastPrinted>2020-01-10T16:05:00Z</cp:lastPrinted>
  <dcterms:created xsi:type="dcterms:W3CDTF">2020-07-08T18:21:00Z</dcterms:created>
  <dcterms:modified xsi:type="dcterms:W3CDTF">2020-07-08T19:39:00Z</dcterms:modified>
</cp:coreProperties>
</file>