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BF" w:rsidRDefault="00D670BF" w:rsidP="00C76D0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s-CL"/>
        </w:rPr>
      </w:pPr>
    </w:p>
    <w:p w:rsidR="00C76D0B" w:rsidRDefault="00C76D0B" w:rsidP="00D670BF">
      <w:pPr>
        <w:jc w:val="both"/>
        <w:rPr>
          <w:b/>
          <w:sz w:val="24"/>
          <w:szCs w:val="24"/>
          <w:u w:val="single"/>
        </w:rPr>
      </w:pPr>
      <w:r w:rsidRPr="00D670BF">
        <w:rPr>
          <w:b/>
          <w:sz w:val="24"/>
          <w:szCs w:val="24"/>
          <w:u w:val="single"/>
        </w:rPr>
        <w:t>INFORMACIÓN AL PÚBLICO SOBRE LA</w:t>
      </w:r>
      <w:r w:rsidR="00D670BF">
        <w:rPr>
          <w:b/>
          <w:sz w:val="24"/>
          <w:szCs w:val="24"/>
          <w:u w:val="single"/>
        </w:rPr>
        <w:t xml:space="preserve"> </w:t>
      </w:r>
      <w:r w:rsidRPr="00D670BF">
        <w:rPr>
          <w:b/>
          <w:sz w:val="24"/>
          <w:szCs w:val="24"/>
          <w:u w:val="single"/>
        </w:rPr>
        <w:t>EXPOSICIÓN A LOS RIESGOS DE MERCADO</w:t>
      </w:r>
    </w:p>
    <w:p w:rsidR="00191009" w:rsidRDefault="00191009" w:rsidP="00191009">
      <w:pPr>
        <w:jc w:val="center"/>
        <w:rPr>
          <w:b/>
          <w:sz w:val="24"/>
          <w:szCs w:val="24"/>
        </w:rPr>
      </w:pPr>
      <w:r w:rsidRPr="004B18BE">
        <w:rPr>
          <w:b/>
          <w:sz w:val="24"/>
          <w:szCs w:val="24"/>
        </w:rPr>
        <w:t>Al 3</w:t>
      </w:r>
      <w:r w:rsidR="004C749E">
        <w:rPr>
          <w:b/>
          <w:sz w:val="24"/>
          <w:szCs w:val="24"/>
        </w:rPr>
        <w:t>0</w:t>
      </w:r>
      <w:r w:rsidR="0032495C">
        <w:rPr>
          <w:b/>
          <w:sz w:val="24"/>
          <w:szCs w:val="24"/>
        </w:rPr>
        <w:t xml:space="preserve"> </w:t>
      </w:r>
      <w:r w:rsidRPr="004B18BE">
        <w:rPr>
          <w:b/>
          <w:sz w:val="24"/>
          <w:szCs w:val="24"/>
        </w:rPr>
        <w:t xml:space="preserve">de </w:t>
      </w:r>
      <w:r w:rsidR="004C749E">
        <w:rPr>
          <w:b/>
          <w:sz w:val="24"/>
          <w:szCs w:val="24"/>
        </w:rPr>
        <w:t xml:space="preserve">junio </w:t>
      </w:r>
      <w:r w:rsidR="00520045">
        <w:rPr>
          <w:b/>
          <w:sz w:val="24"/>
          <w:szCs w:val="24"/>
        </w:rPr>
        <w:t>de 20</w:t>
      </w:r>
      <w:r w:rsidR="00FE2E38">
        <w:rPr>
          <w:b/>
          <w:sz w:val="24"/>
          <w:szCs w:val="24"/>
        </w:rPr>
        <w:t>20</w:t>
      </w:r>
    </w:p>
    <w:p w:rsidR="00191009" w:rsidRPr="00D670BF" w:rsidRDefault="00191009" w:rsidP="00D670BF">
      <w:pPr>
        <w:jc w:val="both"/>
        <w:rPr>
          <w:b/>
          <w:sz w:val="24"/>
          <w:szCs w:val="24"/>
          <w:u w:val="single"/>
        </w:rPr>
      </w:pPr>
    </w:p>
    <w:p w:rsidR="00C76D0B" w:rsidRPr="00D670BF" w:rsidRDefault="00C76D0B" w:rsidP="00D670BF">
      <w:pPr>
        <w:jc w:val="both"/>
        <w:rPr>
          <w:b/>
          <w:sz w:val="24"/>
          <w:szCs w:val="24"/>
          <w:u w:val="single"/>
        </w:rPr>
      </w:pPr>
      <w:r w:rsidRPr="00D670BF">
        <w:rPr>
          <w:b/>
          <w:sz w:val="24"/>
          <w:szCs w:val="24"/>
          <w:u w:val="single"/>
        </w:rPr>
        <w:t>Control y publicación de la Exposición a los Riesgos de Mercado</w:t>
      </w:r>
    </w:p>
    <w:p w:rsidR="00C76D0B" w:rsidRPr="00D670BF" w:rsidRDefault="00C76D0B" w:rsidP="00A24772">
      <w:pPr>
        <w:spacing w:line="360" w:lineRule="auto"/>
        <w:jc w:val="both"/>
        <w:rPr>
          <w:sz w:val="24"/>
          <w:szCs w:val="24"/>
        </w:rPr>
      </w:pPr>
      <w:r w:rsidRPr="00D670BF">
        <w:rPr>
          <w:sz w:val="24"/>
          <w:szCs w:val="24"/>
        </w:rPr>
        <w:t>En cumplimiento de las disposiciones contenidas en el Capítulo 12</w:t>
      </w:r>
      <w:r w:rsidR="00BB516C">
        <w:rPr>
          <w:sz w:val="24"/>
          <w:szCs w:val="24"/>
        </w:rPr>
        <w:t>-</w:t>
      </w:r>
      <w:r w:rsidRPr="00D670BF">
        <w:rPr>
          <w:sz w:val="24"/>
          <w:szCs w:val="24"/>
        </w:rPr>
        <w:t>21</w:t>
      </w:r>
      <w:r w:rsidR="009C0F6D">
        <w:rPr>
          <w:sz w:val="24"/>
          <w:szCs w:val="24"/>
        </w:rPr>
        <w:t xml:space="preserve"> </w:t>
      </w:r>
      <w:r w:rsidRPr="00D670BF">
        <w:rPr>
          <w:sz w:val="24"/>
          <w:szCs w:val="24"/>
        </w:rPr>
        <w:t xml:space="preserve">de la Recopilación Actualizada de Normas de la </w:t>
      </w:r>
      <w:r w:rsidR="003B5CB8">
        <w:rPr>
          <w:sz w:val="24"/>
          <w:szCs w:val="24"/>
        </w:rPr>
        <w:t>Comisión para el Mercado Financiero (CMF)</w:t>
      </w:r>
      <w:r w:rsidR="00191009">
        <w:rPr>
          <w:sz w:val="24"/>
          <w:szCs w:val="24"/>
        </w:rPr>
        <w:t xml:space="preserve"> y en el Capítulo III.B.2.2</w:t>
      </w:r>
      <w:r w:rsidRPr="00D670BF">
        <w:rPr>
          <w:sz w:val="24"/>
          <w:szCs w:val="24"/>
        </w:rPr>
        <w:t xml:space="preserve"> del Compendio de Normas Financieras del Banco Central de Chile,  </w:t>
      </w:r>
      <w:r w:rsidR="007D0D36">
        <w:rPr>
          <w:sz w:val="24"/>
          <w:szCs w:val="24"/>
        </w:rPr>
        <w:t xml:space="preserve">China Construction Bank, </w:t>
      </w:r>
      <w:r w:rsidR="00E64AB9">
        <w:rPr>
          <w:sz w:val="24"/>
          <w:szCs w:val="24"/>
        </w:rPr>
        <w:t>A</w:t>
      </w:r>
      <w:r w:rsidR="007D0D36">
        <w:rPr>
          <w:sz w:val="24"/>
          <w:szCs w:val="24"/>
        </w:rPr>
        <w:t>gencia en Chile</w:t>
      </w:r>
      <w:r w:rsidR="003B0E0A">
        <w:rPr>
          <w:sz w:val="24"/>
          <w:szCs w:val="24"/>
        </w:rPr>
        <w:t>,</w:t>
      </w:r>
      <w:r w:rsidR="007D0D36">
        <w:rPr>
          <w:sz w:val="24"/>
          <w:szCs w:val="24"/>
        </w:rPr>
        <w:t xml:space="preserve"> </w:t>
      </w:r>
      <w:r w:rsidRPr="00D670BF">
        <w:rPr>
          <w:sz w:val="24"/>
          <w:szCs w:val="24"/>
        </w:rPr>
        <w:t xml:space="preserve">pone en conocimiento del público los siguientes  antecedentes respecto de su </w:t>
      </w:r>
      <w:r w:rsidR="00E83EE1">
        <w:rPr>
          <w:sz w:val="24"/>
          <w:szCs w:val="24"/>
        </w:rPr>
        <w:t>exposición a riesgos de mercado</w:t>
      </w:r>
      <w:r w:rsidRPr="00D670BF">
        <w:rPr>
          <w:sz w:val="24"/>
          <w:szCs w:val="24"/>
        </w:rPr>
        <w:t xml:space="preserve"> al </w:t>
      </w:r>
      <w:r w:rsidR="00E45D75">
        <w:rPr>
          <w:sz w:val="24"/>
          <w:szCs w:val="24"/>
        </w:rPr>
        <w:t>3</w:t>
      </w:r>
      <w:r w:rsidR="004C749E">
        <w:rPr>
          <w:sz w:val="24"/>
          <w:szCs w:val="24"/>
        </w:rPr>
        <w:t>0</w:t>
      </w:r>
      <w:r w:rsidR="00DC3178">
        <w:rPr>
          <w:sz w:val="24"/>
          <w:szCs w:val="24"/>
        </w:rPr>
        <w:t xml:space="preserve"> de </w:t>
      </w:r>
      <w:r w:rsidR="004C749E">
        <w:rPr>
          <w:sz w:val="24"/>
          <w:szCs w:val="24"/>
        </w:rPr>
        <w:t>junio</w:t>
      </w:r>
      <w:r w:rsidR="00FE2E38">
        <w:rPr>
          <w:sz w:val="24"/>
          <w:szCs w:val="24"/>
        </w:rPr>
        <w:t xml:space="preserve"> 2020</w:t>
      </w:r>
      <w:r w:rsidR="004A1D9B">
        <w:rPr>
          <w:sz w:val="24"/>
          <w:szCs w:val="24"/>
        </w:rPr>
        <w:t>.</w:t>
      </w:r>
    </w:p>
    <w:p w:rsidR="00C76D0B" w:rsidRPr="00D670BF" w:rsidRDefault="00C76D0B" w:rsidP="00D670BF">
      <w:pPr>
        <w:jc w:val="both"/>
        <w:rPr>
          <w:b/>
          <w:sz w:val="24"/>
          <w:szCs w:val="24"/>
          <w:u w:val="single"/>
        </w:rPr>
      </w:pPr>
    </w:p>
    <w:p w:rsidR="00C76D0B" w:rsidRPr="00D670BF" w:rsidRDefault="00C76D0B" w:rsidP="00D670BF">
      <w:pPr>
        <w:jc w:val="both"/>
        <w:rPr>
          <w:b/>
          <w:sz w:val="24"/>
          <w:szCs w:val="24"/>
          <w:u w:val="single"/>
        </w:rPr>
      </w:pPr>
      <w:r w:rsidRPr="00D670BF">
        <w:rPr>
          <w:b/>
          <w:sz w:val="24"/>
          <w:szCs w:val="24"/>
          <w:u w:val="single"/>
        </w:rPr>
        <w:t>Política de Riesgo de Mercado</w:t>
      </w:r>
    </w:p>
    <w:p w:rsidR="00C76D0B" w:rsidRPr="00D670BF" w:rsidRDefault="00D670BF" w:rsidP="0060107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76D0B" w:rsidRPr="00D670BF">
        <w:rPr>
          <w:sz w:val="24"/>
          <w:szCs w:val="24"/>
        </w:rPr>
        <w:t>os mecanismos de medición, información y control de la exposición a eventuales pérdidas derivadas de cambios adversos en las tasas de interés de mercado, en el valor expresado en moneda nacional de las monedas extranjeras o en las unidades o índices de reajustabilidad a las que están afectas las distintas partidas</w:t>
      </w:r>
      <w:r w:rsidR="00601073">
        <w:rPr>
          <w:sz w:val="24"/>
          <w:szCs w:val="24"/>
        </w:rPr>
        <w:t xml:space="preserve"> del balance,</w:t>
      </w:r>
      <w:r w:rsidR="00C76D0B" w:rsidRPr="00D670BF">
        <w:rPr>
          <w:sz w:val="24"/>
          <w:szCs w:val="24"/>
        </w:rPr>
        <w:t xml:space="preserve"> que conforman tanto los activos </w:t>
      </w:r>
      <w:r>
        <w:rPr>
          <w:sz w:val="24"/>
          <w:szCs w:val="24"/>
        </w:rPr>
        <w:t>como pasivos del Banco</w:t>
      </w:r>
      <w:r w:rsidR="00601073">
        <w:rPr>
          <w:sz w:val="24"/>
          <w:szCs w:val="24"/>
        </w:rPr>
        <w:t>,</w:t>
      </w:r>
      <w:r>
        <w:rPr>
          <w:sz w:val="24"/>
          <w:szCs w:val="24"/>
        </w:rPr>
        <w:t xml:space="preserve"> se encuentran claramente establecidos en la </w:t>
      </w:r>
      <w:r w:rsidR="00601073">
        <w:rPr>
          <w:sz w:val="24"/>
          <w:szCs w:val="24"/>
        </w:rPr>
        <w:t>Política</w:t>
      </w:r>
      <w:r>
        <w:rPr>
          <w:sz w:val="24"/>
          <w:szCs w:val="24"/>
        </w:rPr>
        <w:t xml:space="preserve"> de Riesgo de Mercado aprobada por </w:t>
      </w:r>
      <w:r w:rsidR="001840D9">
        <w:rPr>
          <w:sz w:val="24"/>
          <w:szCs w:val="24"/>
        </w:rPr>
        <w:t>el Comité Ejecutivo</w:t>
      </w:r>
      <w:r>
        <w:rPr>
          <w:sz w:val="24"/>
          <w:szCs w:val="24"/>
        </w:rPr>
        <w:t xml:space="preserve"> de</w:t>
      </w:r>
      <w:r w:rsidR="009F7470">
        <w:rPr>
          <w:sz w:val="24"/>
          <w:szCs w:val="24"/>
        </w:rPr>
        <w:t>l Banco</w:t>
      </w:r>
      <w:r>
        <w:rPr>
          <w:sz w:val="24"/>
          <w:szCs w:val="24"/>
        </w:rPr>
        <w:t>.</w:t>
      </w:r>
    </w:p>
    <w:p w:rsidR="00C76D0B" w:rsidRPr="00601073" w:rsidRDefault="00C76D0B" w:rsidP="00601073">
      <w:pPr>
        <w:spacing w:after="0" w:line="360" w:lineRule="auto"/>
        <w:jc w:val="both"/>
        <w:rPr>
          <w:sz w:val="24"/>
          <w:szCs w:val="24"/>
        </w:rPr>
      </w:pPr>
      <w:r w:rsidRPr="00D670BF">
        <w:rPr>
          <w:sz w:val="24"/>
          <w:szCs w:val="24"/>
        </w:rPr>
        <w:t xml:space="preserve">El objetivo de la  política es cautelar en todo momento la solvencia del Banco, tanto en condiciones normales de operación como </w:t>
      </w:r>
      <w:r w:rsidR="00D670BF">
        <w:rPr>
          <w:sz w:val="24"/>
          <w:szCs w:val="24"/>
        </w:rPr>
        <w:t>en contingencia.</w:t>
      </w:r>
    </w:p>
    <w:p w:rsidR="00C65FBA" w:rsidRDefault="00601073" w:rsidP="00601073">
      <w:pPr>
        <w:spacing w:after="0" w:line="360" w:lineRule="auto"/>
        <w:jc w:val="both"/>
        <w:rPr>
          <w:sz w:val="24"/>
          <w:szCs w:val="24"/>
        </w:rPr>
      </w:pPr>
      <w:r w:rsidRPr="00601073">
        <w:rPr>
          <w:sz w:val="24"/>
          <w:szCs w:val="24"/>
        </w:rPr>
        <w:t xml:space="preserve">Para la gestión </w:t>
      </w:r>
      <w:r w:rsidR="003C586A">
        <w:rPr>
          <w:sz w:val="24"/>
          <w:szCs w:val="24"/>
        </w:rPr>
        <w:t xml:space="preserve"> y medición de su exposición a los </w:t>
      </w:r>
      <w:r w:rsidRPr="00601073">
        <w:rPr>
          <w:sz w:val="24"/>
          <w:szCs w:val="24"/>
        </w:rPr>
        <w:t>riesgos de mercado</w:t>
      </w:r>
      <w:r w:rsidR="003C586A">
        <w:rPr>
          <w:sz w:val="24"/>
          <w:szCs w:val="24"/>
        </w:rPr>
        <w:t>,</w:t>
      </w:r>
      <w:r w:rsidR="00F54142">
        <w:rPr>
          <w:sz w:val="24"/>
          <w:szCs w:val="24"/>
        </w:rPr>
        <w:t xml:space="preserve"> </w:t>
      </w:r>
      <w:r w:rsidR="009F7470">
        <w:rPr>
          <w:sz w:val="24"/>
          <w:szCs w:val="24"/>
        </w:rPr>
        <w:t>China Construction Bank, Agencia en Chile</w:t>
      </w:r>
      <w:r w:rsidR="003C586A">
        <w:rPr>
          <w:sz w:val="24"/>
          <w:szCs w:val="24"/>
        </w:rPr>
        <w:t>,</w:t>
      </w:r>
      <w:r w:rsidR="009F7470" w:rsidRPr="00601073">
        <w:rPr>
          <w:sz w:val="24"/>
          <w:szCs w:val="24"/>
        </w:rPr>
        <w:t xml:space="preserve"> </w:t>
      </w:r>
      <w:r w:rsidRPr="00601073">
        <w:rPr>
          <w:sz w:val="24"/>
          <w:szCs w:val="24"/>
        </w:rPr>
        <w:t xml:space="preserve">adoptó el modelo estándar establecido en las normas del Banco Central de Chile y la </w:t>
      </w:r>
      <w:r w:rsidR="003B5CB8">
        <w:rPr>
          <w:sz w:val="24"/>
          <w:szCs w:val="24"/>
        </w:rPr>
        <w:t>Comisión para el Mercado Financiero (CMF)</w:t>
      </w:r>
      <w:r w:rsidRPr="00601073">
        <w:rPr>
          <w:sz w:val="24"/>
          <w:szCs w:val="24"/>
        </w:rPr>
        <w:t>.</w:t>
      </w:r>
    </w:p>
    <w:p w:rsidR="00C65FBA" w:rsidRDefault="00C65F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65FBA" w:rsidRDefault="00C65FBA" w:rsidP="005C5FD9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C65FBA">
        <w:rPr>
          <w:b/>
          <w:sz w:val="24"/>
          <w:szCs w:val="24"/>
          <w:u w:val="single"/>
        </w:rPr>
        <w:lastRenderedPageBreak/>
        <w:t>Estado Trimestral de Exposición a los Riesgos de Mercado</w:t>
      </w:r>
    </w:p>
    <w:p w:rsidR="00C65FBA" w:rsidRPr="00601073" w:rsidRDefault="00AC189C" w:rsidP="00146412">
      <w:pPr>
        <w:spacing w:after="0" w:line="360" w:lineRule="auto"/>
        <w:jc w:val="center"/>
        <w:rPr>
          <w:sz w:val="24"/>
          <w:szCs w:val="24"/>
        </w:rPr>
      </w:pPr>
      <w:r w:rsidRPr="00AC189C">
        <w:drawing>
          <wp:inline distT="0" distB="0" distL="0" distR="0">
            <wp:extent cx="4486275" cy="6972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5FBA" w:rsidRPr="0060107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EF" w:rsidRDefault="00A456EF" w:rsidP="00D670BF">
      <w:pPr>
        <w:spacing w:after="0" w:line="240" w:lineRule="auto"/>
      </w:pPr>
      <w:r>
        <w:separator/>
      </w:r>
    </w:p>
  </w:endnote>
  <w:endnote w:type="continuationSeparator" w:id="0">
    <w:p w:rsidR="00A456EF" w:rsidRDefault="00A456EF" w:rsidP="00D6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EF" w:rsidRDefault="00A456EF" w:rsidP="00D670BF">
      <w:pPr>
        <w:spacing w:after="0" w:line="240" w:lineRule="auto"/>
      </w:pPr>
      <w:r>
        <w:separator/>
      </w:r>
    </w:p>
  </w:footnote>
  <w:footnote w:type="continuationSeparator" w:id="0">
    <w:p w:rsidR="00A456EF" w:rsidRDefault="00A456EF" w:rsidP="00D6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CB8" w:rsidRDefault="00A02CB8">
    <w:pPr>
      <w:pStyle w:val="Header"/>
    </w:pPr>
    <w:r>
      <w:rPr>
        <w:noProof/>
        <w:lang w:eastAsia="es-CL"/>
      </w:rPr>
      <w:drawing>
        <wp:inline distT="0" distB="0" distL="0" distR="0" wp14:anchorId="43DF4AE2" wp14:editId="684892F8">
          <wp:extent cx="1724025" cy="67935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7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CB8" w:rsidRDefault="00A02C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17703"/>
    <w:multiLevelType w:val="hybridMultilevel"/>
    <w:tmpl w:val="C1324C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0B"/>
    <w:rsid w:val="00014A93"/>
    <w:rsid w:val="000A09EB"/>
    <w:rsid w:val="000B5D8E"/>
    <w:rsid w:val="000C3780"/>
    <w:rsid w:val="00146412"/>
    <w:rsid w:val="001840D9"/>
    <w:rsid w:val="00191009"/>
    <w:rsid w:val="00211525"/>
    <w:rsid w:val="00217E0E"/>
    <w:rsid w:val="00227FE0"/>
    <w:rsid w:val="0026049D"/>
    <w:rsid w:val="00277854"/>
    <w:rsid w:val="002A4B17"/>
    <w:rsid w:val="00324628"/>
    <w:rsid w:val="0032495C"/>
    <w:rsid w:val="00370D1C"/>
    <w:rsid w:val="003B0E0A"/>
    <w:rsid w:val="003B5CB8"/>
    <w:rsid w:val="003C586A"/>
    <w:rsid w:val="00445ED9"/>
    <w:rsid w:val="00463D44"/>
    <w:rsid w:val="00465600"/>
    <w:rsid w:val="004A1D9B"/>
    <w:rsid w:val="004C749E"/>
    <w:rsid w:val="00513BE8"/>
    <w:rsid w:val="00520045"/>
    <w:rsid w:val="00557A46"/>
    <w:rsid w:val="005B0AA2"/>
    <w:rsid w:val="005C5FD9"/>
    <w:rsid w:val="00601073"/>
    <w:rsid w:val="00614AE8"/>
    <w:rsid w:val="00757357"/>
    <w:rsid w:val="007D0D36"/>
    <w:rsid w:val="00864151"/>
    <w:rsid w:val="009B58FB"/>
    <w:rsid w:val="009C04A8"/>
    <w:rsid w:val="009C0F6D"/>
    <w:rsid w:val="009D5E6D"/>
    <w:rsid w:val="009F7470"/>
    <w:rsid w:val="00A02CB8"/>
    <w:rsid w:val="00A24772"/>
    <w:rsid w:val="00A456EF"/>
    <w:rsid w:val="00A913EA"/>
    <w:rsid w:val="00AC189C"/>
    <w:rsid w:val="00AC204B"/>
    <w:rsid w:val="00BB516C"/>
    <w:rsid w:val="00BD00BC"/>
    <w:rsid w:val="00C65FBA"/>
    <w:rsid w:val="00C73D81"/>
    <w:rsid w:val="00C76D0B"/>
    <w:rsid w:val="00C917D5"/>
    <w:rsid w:val="00CA2AF0"/>
    <w:rsid w:val="00CF7615"/>
    <w:rsid w:val="00D64083"/>
    <w:rsid w:val="00D670BF"/>
    <w:rsid w:val="00DC3178"/>
    <w:rsid w:val="00DD0C24"/>
    <w:rsid w:val="00E01956"/>
    <w:rsid w:val="00E12C49"/>
    <w:rsid w:val="00E328E6"/>
    <w:rsid w:val="00E45D75"/>
    <w:rsid w:val="00E64AB9"/>
    <w:rsid w:val="00E83EE1"/>
    <w:rsid w:val="00EC24A4"/>
    <w:rsid w:val="00EC4298"/>
    <w:rsid w:val="00EE08E2"/>
    <w:rsid w:val="00EE7B2C"/>
    <w:rsid w:val="00F13194"/>
    <w:rsid w:val="00F54142"/>
    <w:rsid w:val="00F61F85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0BF"/>
  </w:style>
  <w:style w:type="paragraph" w:styleId="Footer">
    <w:name w:val="footer"/>
    <w:basedOn w:val="Normal"/>
    <w:link w:val="FooterChar"/>
    <w:uiPriority w:val="99"/>
    <w:unhideWhenUsed/>
    <w:rsid w:val="00D6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0BF"/>
  </w:style>
  <w:style w:type="paragraph" w:styleId="BalloonText">
    <w:name w:val="Balloon Text"/>
    <w:basedOn w:val="Normal"/>
    <w:link w:val="BalloonTextChar"/>
    <w:uiPriority w:val="99"/>
    <w:semiHidden/>
    <w:unhideWhenUsed/>
    <w:rsid w:val="00D6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0BF"/>
  </w:style>
  <w:style w:type="paragraph" w:styleId="Footer">
    <w:name w:val="footer"/>
    <w:basedOn w:val="Normal"/>
    <w:link w:val="FooterChar"/>
    <w:uiPriority w:val="99"/>
    <w:unhideWhenUsed/>
    <w:rsid w:val="00D6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0BF"/>
  </w:style>
  <w:style w:type="paragraph" w:styleId="BalloonText">
    <w:name w:val="Balloon Text"/>
    <w:basedOn w:val="Normal"/>
    <w:link w:val="BalloonTextChar"/>
    <w:uiPriority w:val="99"/>
    <w:semiHidden/>
    <w:unhideWhenUsed/>
    <w:rsid w:val="00D6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Curie Novella</dc:creator>
  <cp:lastModifiedBy>Curie Novella</cp:lastModifiedBy>
  <cp:revision>4</cp:revision>
  <cp:lastPrinted>2020-01-10T16:05:00Z</cp:lastPrinted>
  <dcterms:created xsi:type="dcterms:W3CDTF">2020-04-09T21:21:00Z</dcterms:created>
  <dcterms:modified xsi:type="dcterms:W3CDTF">2020-07-08T19:36:00Z</dcterms:modified>
</cp:coreProperties>
</file>