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B1" w:rsidRDefault="00E21CD3" w:rsidP="004B18BE">
      <w:pPr>
        <w:jc w:val="center"/>
        <w:rPr>
          <w:b/>
          <w:sz w:val="24"/>
          <w:szCs w:val="24"/>
          <w:lang w:val="en-US"/>
        </w:rPr>
      </w:pPr>
      <w:r w:rsidRPr="00E21CD3">
        <w:rPr>
          <w:b/>
          <w:sz w:val="24"/>
          <w:szCs w:val="24"/>
          <w:lang w:val="en-US"/>
        </w:rPr>
        <w:t>Quarterly Liquidity Situation</w:t>
      </w:r>
    </w:p>
    <w:p w:rsidR="004B18BE" w:rsidRPr="00E21CD3" w:rsidRDefault="00E21CD3" w:rsidP="004B18BE">
      <w:pPr>
        <w:jc w:val="center"/>
        <w:rPr>
          <w:b/>
          <w:sz w:val="24"/>
          <w:szCs w:val="24"/>
          <w:lang w:val="en-US"/>
        </w:rPr>
      </w:pPr>
      <w:r w:rsidRPr="00E21CD3">
        <w:rPr>
          <w:b/>
          <w:sz w:val="24"/>
          <w:szCs w:val="24"/>
          <w:lang w:val="en-US"/>
        </w:rPr>
        <w:t xml:space="preserve">As of </w:t>
      </w:r>
      <w:r w:rsidR="00860DF9">
        <w:rPr>
          <w:b/>
          <w:sz w:val="24"/>
          <w:szCs w:val="24"/>
          <w:lang w:val="en-US"/>
        </w:rPr>
        <w:t>3</w:t>
      </w:r>
      <w:r w:rsidR="00F02EF3">
        <w:rPr>
          <w:b/>
          <w:sz w:val="24"/>
          <w:szCs w:val="24"/>
          <w:lang w:val="en-US"/>
        </w:rPr>
        <w:t>0</w:t>
      </w:r>
      <w:r w:rsidR="00785847">
        <w:rPr>
          <w:b/>
          <w:sz w:val="24"/>
          <w:szCs w:val="24"/>
          <w:lang w:val="en-US"/>
        </w:rPr>
        <w:t xml:space="preserve"> </w:t>
      </w:r>
      <w:r w:rsidR="00F02EF3">
        <w:rPr>
          <w:b/>
          <w:sz w:val="24"/>
          <w:szCs w:val="24"/>
          <w:lang w:val="en-US"/>
        </w:rPr>
        <w:t>June</w:t>
      </w:r>
      <w:r w:rsidR="00881C69">
        <w:rPr>
          <w:b/>
          <w:sz w:val="24"/>
          <w:szCs w:val="24"/>
          <w:lang w:val="en-US"/>
        </w:rPr>
        <w:t xml:space="preserve"> </w:t>
      </w:r>
      <w:r w:rsidR="00C9080D">
        <w:rPr>
          <w:b/>
          <w:sz w:val="24"/>
          <w:szCs w:val="24"/>
          <w:lang w:val="en-US"/>
        </w:rPr>
        <w:t>2020</w:t>
      </w:r>
    </w:p>
    <w:p w:rsidR="004B18BE" w:rsidRPr="00E21CD3" w:rsidRDefault="004B18BE" w:rsidP="004B18BE">
      <w:pPr>
        <w:jc w:val="center"/>
        <w:rPr>
          <w:b/>
          <w:sz w:val="24"/>
          <w:szCs w:val="24"/>
          <w:lang w:val="en-US"/>
        </w:rPr>
      </w:pPr>
    </w:p>
    <w:p w:rsidR="004B18BE" w:rsidRPr="00E21CD3" w:rsidRDefault="00E21CD3" w:rsidP="004B18BE">
      <w:pPr>
        <w:jc w:val="both"/>
        <w:rPr>
          <w:b/>
          <w:sz w:val="24"/>
          <w:szCs w:val="24"/>
          <w:u w:val="single"/>
          <w:lang w:val="en-US"/>
        </w:rPr>
      </w:pPr>
      <w:r w:rsidRPr="00E21CD3">
        <w:rPr>
          <w:b/>
          <w:sz w:val="24"/>
          <w:szCs w:val="24"/>
          <w:u w:val="single"/>
          <w:lang w:val="en-US"/>
        </w:rPr>
        <w:t>Control and Publication of the Liquidity Situation</w:t>
      </w:r>
      <w:r w:rsidR="004B18BE" w:rsidRPr="00E21CD3">
        <w:rPr>
          <w:b/>
          <w:sz w:val="24"/>
          <w:szCs w:val="24"/>
          <w:u w:val="single"/>
          <w:lang w:val="en-US"/>
        </w:rPr>
        <w:t>:</w:t>
      </w:r>
    </w:p>
    <w:p w:rsidR="00E21CD3" w:rsidRPr="00E21CD3" w:rsidRDefault="00E21CD3" w:rsidP="004B18BE">
      <w:pPr>
        <w:jc w:val="both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According to the provisions in Chapter III B.2.1 of the Financial Standards of the Central Bank of Chile and chapter 12-20 on the management and measurement of the liquidity position in </w:t>
      </w:r>
      <w:r w:rsidR="008E22FD">
        <w:rPr>
          <w:sz w:val="24"/>
          <w:szCs w:val="24"/>
          <w:lang w:val="en-US"/>
        </w:rPr>
        <w:t>CMF</w:t>
      </w:r>
      <w:r w:rsidRPr="00E21CD3">
        <w:rPr>
          <w:sz w:val="24"/>
          <w:szCs w:val="24"/>
          <w:lang w:val="en-US"/>
        </w:rPr>
        <w:t>’s Compendium of Standards, the Bank’s quarterly liquidity situation follows the criteria below:</w:t>
      </w:r>
    </w:p>
    <w:p w:rsidR="001C5EE9" w:rsidRPr="00E21CD3" w:rsidRDefault="00E21CD3" w:rsidP="004B18BE">
      <w:pPr>
        <w:jc w:val="both"/>
        <w:rPr>
          <w:b/>
          <w:sz w:val="24"/>
          <w:szCs w:val="24"/>
          <w:u w:val="single"/>
          <w:lang w:val="en-US"/>
        </w:rPr>
      </w:pPr>
      <w:r w:rsidRPr="00E21CD3">
        <w:rPr>
          <w:b/>
          <w:sz w:val="24"/>
          <w:szCs w:val="24"/>
          <w:u w:val="single"/>
          <w:lang w:val="en-US"/>
        </w:rPr>
        <w:t>Liquidity Position and its Measurement</w:t>
      </w:r>
    </w:p>
    <w:p w:rsidR="001C5EE9" w:rsidRDefault="00E21CD3" w:rsidP="00860DF9">
      <w:pPr>
        <w:jc w:val="both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The liquidity position is measured and controlled through the difference between the outflows and inflows for a given time band. </w:t>
      </w:r>
      <w:r>
        <w:rPr>
          <w:sz w:val="24"/>
          <w:szCs w:val="24"/>
          <w:lang w:val="en-US"/>
        </w:rPr>
        <w:t>The positive difference between outflows and inflows is called time band mismatch, which is subject to the limits allowed by the Central Bank.</w:t>
      </w:r>
    </w:p>
    <w:p w:rsidR="00860DF9" w:rsidRPr="00E21CD3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The liquidity position is determined on a contractual basis, according to the provision of the Liquidity Risk Policy approved by the Bank’s Executive Committee. </w:t>
      </w:r>
    </w:p>
    <w:p w:rsidR="00860DF9" w:rsidRPr="00E21CD3" w:rsidRDefault="00860DF9" w:rsidP="004B18BE">
      <w:pPr>
        <w:jc w:val="both"/>
        <w:rPr>
          <w:sz w:val="24"/>
          <w:szCs w:val="24"/>
          <w:lang w:val="en-US"/>
        </w:rPr>
      </w:pPr>
    </w:p>
    <w:p w:rsidR="0034332A" w:rsidRPr="00E21CD3" w:rsidRDefault="00E21CD3" w:rsidP="0034332A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E21CD3">
        <w:rPr>
          <w:b/>
          <w:sz w:val="24"/>
          <w:szCs w:val="24"/>
          <w:u w:val="single"/>
          <w:lang w:val="en-US"/>
        </w:rPr>
        <w:t>Time Bands</w:t>
      </w:r>
    </w:p>
    <w:p w:rsidR="0034332A" w:rsidRPr="00E21CD3" w:rsidRDefault="0034332A" w:rsidP="0034332A">
      <w:pPr>
        <w:spacing w:after="0" w:line="240" w:lineRule="auto"/>
        <w:rPr>
          <w:sz w:val="24"/>
          <w:szCs w:val="24"/>
          <w:lang w:val="en-US"/>
        </w:rPr>
      </w:pPr>
    </w:p>
    <w:p w:rsidR="00544BEC" w:rsidRPr="00E21CD3" w:rsidRDefault="00E21CD3" w:rsidP="0034332A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Time band mismatches are calculated for the following time bands: </w:t>
      </w:r>
    </w:p>
    <w:p w:rsidR="0034332A" w:rsidRPr="00E21CD3" w:rsidRDefault="0034332A" w:rsidP="0034332A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 </w:t>
      </w:r>
    </w:p>
    <w:p w:rsidR="0034332A" w:rsidRPr="00E21CD3" w:rsidRDefault="00E21CD3" w:rsidP="0034332A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>First time band</w:t>
      </w:r>
      <w:r w:rsidR="0034332A" w:rsidRPr="00E21CD3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up to 7 days</w:t>
      </w:r>
      <w:r w:rsidR="00513EF9" w:rsidRPr="00E21CD3">
        <w:rPr>
          <w:sz w:val="24"/>
          <w:szCs w:val="24"/>
          <w:lang w:val="en-US"/>
        </w:rPr>
        <w:t>.</w:t>
      </w:r>
    </w:p>
    <w:p w:rsidR="0034332A" w:rsidRPr="00E21CD3" w:rsidRDefault="00E21CD3" w:rsidP="0034332A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>Second time band</w:t>
      </w:r>
      <w:r w:rsidR="0034332A" w:rsidRPr="00E21CD3">
        <w:rPr>
          <w:sz w:val="24"/>
          <w:szCs w:val="24"/>
          <w:lang w:val="en-US"/>
        </w:rPr>
        <w:t xml:space="preserve">: </w:t>
      </w:r>
      <w:r w:rsidRPr="00E21CD3">
        <w:rPr>
          <w:sz w:val="24"/>
          <w:szCs w:val="24"/>
          <w:lang w:val="en-US"/>
        </w:rPr>
        <w:t>from 8 to 30 days</w:t>
      </w:r>
      <w:r w:rsidR="00513EF9" w:rsidRPr="00E21CD3">
        <w:rPr>
          <w:sz w:val="24"/>
          <w:szCs w:val="24"/>
          <w:lang w:val="en-US"/>
        </w:rPr>
        <w:t>.</w:t>
      </w:r>
    </w:p>
    <w:p w:rsidR="00FC4CCB" w:rsidRPr="00E21CD3" w:rsidRDefault="00E21CD3" w:rsidP="00513EF9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>Third time band</w:t>
      </w:r>
      <w:r w:rsidR="0034332A" w:rsidRPr="00E21CD3">
        <w:rPr>
          <w:sz w:val="24"/>
          <w:szCs w:val="24"/>
          <w:lang w:val="en-US"/>
        </w:rPr>
        <w:t xml:space="preserve">: </w:t>
      </w:r>
      <w:r w:rsidRPr="00E21CD3">
        <w:rPr>
          <w:sz w:val="24"/>
          <w:szCs w:val="24"/>
          <w:lang w:val="en-US"/>
        </w:rPr>
        <w:t>from 31 to 90 days</w:t>
      </w:r>
      <w:r w:rsidR="00513EF9" w:rsidRPr="00E21CD3">
        <w:rPr>
          <w:sz w:val="24"/>
          <w:szCs w:val="24"/>
          <w:lang w:val="en-US"/>
        </w:rPr>
        <w:t>.</w:t>
      </w:r>
    </w:p>
    <w:p w:rsidR="00513EF9" w:rsidRPr="00E21CD3" w:rsidRDefault="00513EF9" w:rsidP="00513EF9">
      <w:pPr>
        <w:spacing w:after="0" w:line="240" w:lineRule="auto"/>
        <w:rPr>
          <w:sz w:val="24"/>
          <w:szCs w:val="24"/>
          <w:lang w:val="en-US"/>
        </w:rPr>
      </w:pPr>
    </w:p>
    <w:p w:rsidR="00FC4CCB" w:rsidRPr="00D0777F" w:rsidRDefault="00E21CD3" w:rsidP="00FC4CCB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D0777F">
        <w:rPr>
          <w:b/>
          <w:sz w:val="24"/>
          <w:szCs w:val="24"/>
          <w:u w:val="single"/>
          <w:lang w:val="en-US"/>
        </w:rPr>
        <w:t>Liquidity Risk Policy</w:t>
      </w:r>
    </w:p>
    <w:p w:rsidR="00FC4CCB" w:rsidRPr="00D0777F" w:rsidRDefault="00FC4CCB" w:rsidP="00FC4CCB">
      <w:pPr>
        <w:spacing w:after="0" w:line="240" w:lineRule="auto"/>
        <w:rPr>
          <w:b/>
          <w:sz w:val="24"/>
          <w:szCs w:val="24"/>
          <w:u w:val="single"/>
          <w:lang w:val="en-US"/>
        </w:rPr>
      </w:pP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objective of the Liquidity Policy is establishing a framework for liquidity management and the existence of enough liquid assets both, in normal and abnormal scenarios.</w:t>
      </w: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FC4CCB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Bank adopts a cash flow approach for measuring the liquidity risk and has a sound framework for forecasting future cash flows from assets, liabilities and off-balance sheet positions in different time bands. Additionally, the Bank carries out stress tests on a quarterly basis in order to ascertain the impact of extreme scenarios on its liquidity position.</w:t>
      </w: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The Bank monitors its liquidity position on a daily basis and, in addition to regulatory </w:t>
      </w:r>
      <w:r w:rsidR="00C9080D">
        <w:rPr>
          <w:sz w:val="24"/>
          <w:szCs w:val="24"/>
          <w:lang w:val="en-US"/>
        </w:rPr>
        <w:t>limit;</w:t>
      </w:r>
      <w:r>
        <w:rPr>
          <w:sz w:val="24"/>
          <w:szCs w:val="24"/>
          <w:lang w:val="en-US"/>
        </w:rPr>
        <w:t xml:space="preserve"> it has a structure of internal limits and early warning indicators associated to the concentration of funding sources, the availability of high quality liquid assets and the existence of enough stable funding.</w:t>
      </w: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Liquidity Policy is reviewed and updated at least once a year and its contents are approved by the Executive Committee of the Bank.</w:t>
      </w:r>
    </w:p>
    <w:p w:rsidR="00DE5980" w:rsidRPr="00E21CD3" w:rsidRDefault="00DE5980">
      <w:pPr>
        <w:rPr>
          <w:sz w:val="24"/>
          <w:szCs w:val="24"/>
          <w:lang w:val="en-US"/>
        </w:rPr>
      </w:pPr>
    </w:p>
    <w:p w:rsidR="00785847" w:rsidRPr="00A9439F" w:rsidRDefault="00A9439F" w:rsidP="00B128FF">
      <w:pPr>
        <w:jc w:val="center"/>
        <w:rPr>
          <w:b/>
          <w:sz w:val="24"/>
          <w:szCs w:val="24"/>
          <w:lang w:val="en-US"/>
        </w:rPr>
      </w:pPr>
      <w:bookmarkStart w:id="0" w:name="_GoBack"/>
      <w:r w:rsidRPr="00A9439F">
        <w:drawing>
          <wp:inline distT="0" distB="0" distL="0" distR="0" wp14:anchorId="00AF3FC0" wp14:editId="5E2D5CF9">
            <wp:extent cx="5612130" cy="2986271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8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F6720" w:rsidRDefault="00E21CD3" w:rsidP="00B128FF">
      <w:pPr>
        <w:jc w:val="center"/>
        <w:rPr>
          <w:b/>
          <w:sz w:val="24"/>
          <w:szCs w:val="24"/>
          <w:lang w:val="en-US"/>
        </w:rPr>
      </w:pPr>
      <w:r w:rsidRPr="00860DF9">
        <w:rPr>
          <w:b/>
          <w:sz w:val="24"/>
          <w:szCs w:val="24"/>
          <w:lang w:val="en-US"/>
        </w:rPr>
        <w:t>Quarterly Liquidity Situation</w:t>
      </w:r>
    </w:p>
    <w:p w:rsidR="00D65AD2" w:rsidRPr="00860DF9" w:rsidRDefault="00F02EF3" w:rsidP="00BA1345">
      <w:pPr>
        <w:rPr>
          <w:sz w:val="24"/>
          <w:szCs w:val="24"/>
          <w:lang w:val="en-US"/>
        </w:rPr>
      </w:pPr>
      <w:r w:rsidRPr="00F02EF3">
        <w:rPr>
          <w:noProof/>
          <w:lang w:eastAsia="es-CL"/>
        </w:rPr>
        <w:drawing>
          <wp:inline distT="0" distB="0" distL="0" distR="0">
            <wp:extent cx="2886075" cy="282747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82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AD2" w:rsidRPr="00860DF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ECB" w:rsidRDefault="006D2ECB" w:rsidP="00D70D20">
      <w:pPr>
        <w:spacing w:after="0" w:line="240" w:lineRule="auto"/>
      </w:pPr>
      <w:r>
        <w:separator/>
      </w:r>
    </w:p>
  </w:endnote>
  <w:endnote w:type="continuationSeparator" w:id="0">
    <w:p w:rsidR="006D2ECB" w:rsidRDefault="006D2ECB" w:rsidP="00D7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ECB" w:rsidRDefault="006D2ECB" w:rsidP="00D70D20">
      <w:pPr>
        <w:spacing w:after="0" w:line="240" w:lineRule="auto"/>
      </w:pPr>
      <w:r>
        <w:separator/>
      </w:r>
    </w:p>
  </w:footnote>
  <w:footnote w:type="continuationSeparator" w:id="0">
    <w:p w:rsidR="006D2ECB" w:rsidRDefault="006D2ECB" w:rsidP="00D7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232" w:rsidRDefault="00FF1232" w:rsidP="00B93EAE">
    <w:pPr>
      <w:pStyle w:val="Header"/>
    </w:pPr>
    <w:r>
      <w:rPr>
        <w:noProof/>
        <w:lang w:eastAsia="es-CL"/>
      </w:rPr>
      <w:drawing>
        <wp:inline distT="0" distB="0" distL="0" distR="0" wp14:anchorId="6540E6B7" wp14:editId="05DFDEAA">
          <wp:extent cx="1724025" cy="679356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679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E"/>
    <w:rsid w:val="00047361"/>
    <w:rsid w:val="000925D8"/>
    <w:rsid w:val="000C36C4"/>
    <w:rsid w:val="000E2299"/>
    <w:rsid w:val="0013744C"/>
    <w:rsid w:val="00143076"/>
    <w:rsid w:val="00163299"/>
    <w:rsid w:val="00197E94"/>
    <w:rsid w:val="001A113C"/>
    <w:rsid w:val="001B729D"/>
    <w:rsid w:val="001C5EE9"/>
    <w:rsid w:val="00273C2C"/>
    <w:rsid w:val="0034332A"/>
    <w:rsid w:val="00384FE9"/>
    <w:rsid w:val="00386229"/>
    <w:rsid w:val="00393B23"/>
    <w:rsid w:val="003A5AF7"/>
    <w:rsid w:val="003F6720"/>
    <w:rsid w:val="00475758"/>
    <w:rsid w:val="004B18BE"/>
    <w:rsid w:val="004D5C29"/>
    <w:rsid w:val="004D5CC7"/>
    <w:rsid w:val="004F3E8C"/>
    <w:rsid w:val="004F52D2"/>
    <w:rsid w:val="00513EF9"/>
    <w:rsid w:val="00544BEC"/>
    <w:rsid w:val="0057255C"/>
    <w:rsid w:val="00650B66"/>
    <w:rsid w:val="006710DA"/>
    <w:rsid w:val="006D2ECB"/>
    <w:rsid w:val="006D7EB1"/>
    <w:rsid w:val="006F243B"/>
    <w:rsid w:val="00785847"/>
    <w:rsid w:val="007A2976"/>
    <w:rsid w:val="007C5C53"/>
    <w:rsid w:val="00860DF9"/>
    <w:rsid w:val="00881C69"/>
    <w:rsid w:val="008A09FE"/>
    <w:rsid w:val="008E22FD"/>
    <w:rsid w:val="00916C82"/>
    <w:rsid w:val="0092239B"/>
    <w:rsid w:val="00953EDE"/>
    <w:rsid w:val="009B65C5"/>
    <w:rsid w:val="00A329BC"/>
    <w:rsid w:val="00A351C2"/>
    <w:rsid w:val="00A7023D"/>
    <w:rsid w:val="00A9439F"/>
    <w:rsid w:val="00A94A02"/>
    <w:rsid w:val="00AB3E9B"/>
    <w:rsid w:val="00AF68E1"/>
    <w:rsid w:val="00B128FF"/>
    <w:rsid w:val="00B93EAE"/>
    <w:rsid w:val="00BA1345"/>
    <w:rsid w:val="00BC1771"/>
    <w:rsid w:val="00C43694"/>
    <w:rsid w:val="00C9080D"/>
    <w:rsid w:val="00C9482C"/>
    <w:rsid w:val="00D0777F"/>
    <w:rsid w:val="00D3277D"/>
    <w:rsid w:val="00D65AD2"/>
    <w:rsid w:val="00D70D20"/>
    <w:rsid w:val="00DB69D4"/>
    <w:rsid w:val="00DE5980"/>
    <w:rsid w:val="00E21CD3"/>
    <w:rsid w:val="00E36494"/>
    <w:rsid w:val="00EB74F2"/>
    <w:rsid w:val="00F02EF3"/>
    <w:rsid w:val="00F61F85"/>
    <w:rsid w:val="00F91E79"/>
    <w:rsid w:val="00FC4CCB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20"/>
  </w:style>
  <w:style w:type="paragraph" w:styleId="Footer">
    <w:name w:val="footer"/>
    <w:basedOn w:val="Normal"/>
    <w:link w:val="Foot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20"/>
  </w:style>
  <w:style w:type="paragraph" w:styleId="Footer">
    <w:name w:val="footer"/>
    <w:basedOn w:val="Normal"/>
    <w:link w:val="Foot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BCBB7-7F2A-4B72-9BA5-F9B7AA99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321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Curie Novella</dc:creator>
  <cp:lastModifiedBy>Curie Novella</cp:lastModifiedBy>
  <cp:revision>5</cp:revision>
  <cp:lastPrinted>2016-10-11T18:59:00Z</cp:lastPrinted>
  <dcterms:created xsi:type="dcterms:W3CDTF">2020-04-09T19:18:00Z</dcterms:created>
  <dcterms:modified xsi:type="dcterms:W3CDTF">2020-07-08T19:39:00Z</dcterms:modified>
</cp:coreProperties>
</file>