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F6D" w:rsidRDefault="002F4F6D" w:rsidP="002454B4">
      <w:pPr>
        <w:adjustRightInd w:val="0"/>
        <w:snapToGrid w:val="0"/>
        <w:spacing w:line="360" w:lineRule="auto"/>
        <w:ind w:leftChars="-405" w:left="-425" w:rightChars="-203" w:right="-426" w:hangingChars="177" w:hanging="425"/>
        <w:jc w:val="center"/>
        <w:rPr>
          <w:rFonts w:asciiTheme="minorEastAsia" w:hAnsiTheme="minorEastAsia" w:cs="Arial"/>
          <w:sz w:val="24"/>
        </w:rPr>
      </w:pPr>
    </w:p>
    <w:p w:rsidR="002F4F6D" w:rsidRDefault="002F4F6D">
      <w:pPr>
        <w:adjustRightInd w:val="0"/>
        <w:snapToGrid w:val="0"/>
        <w:spacing w:line="360" w:lineRule="auto"/>
        <w:jc w:val="center"/>
        <w:rPr>
          <w:rFonts w:asciiTheme="minorEastAsia" w:hAnsiTheme="minorEastAsia" w:cs="Arial"/>
          <w:sz w:val="24"/>
        </w:rPr>
      </w:pPr>
    </w:p>
    <w:p w:rsidR="002F4F6D" w:rsidRDefault="002F4F6D">
      <w:pPr>
        <w:adjustRightInd w:val="0"/>
        <w:snapToGrid w:val="0"/>
        <w:spacing w:line="360" w:lineRule="auto"/>
        <w:jc w:val="center"/>
        <w:rPr>
          <w:rFonts w:asciiTheme="minorEastAsia" w:hAnsiTheme="minorEastAsia" w:cs="Arial"/>
          <w:sz w:val="24"/>
        </w:rPr>
      </w:pPr>
      <w:bookmarkStart w:id="0" w:name="_GoBack"/>
      <w:bookmarkEnd w:id="0"/>
    </w:p>
    <w:p w:rsidR="002F4F6D" w:rsidRDefault="002F4F6D">
      <w:pPr>
        <w:adjustRightInd w:val="0"/>
        <w:snapToGrid w:val="0"/>
        <w:spacing w:line="360" w:lineRule="auto"/>
        <w:jc w:val="center"/>
        <w:rPr>
          <w:rFonts w:asciiTheme="minorEastAsia" w:hAnsiTheme="minorEastAsia" w:cs="Arial"/>
          <w:sz w:val="24"/>
        </w:rPr>
      </w:pPr>
    </w:p>
    <w:p w:rsidR="002F4F6D" w:rsidRDefault="002F4F6D">
      <w:pPr>
        <w:adjustRightInd w:val="0"/>
        <w:snapToGrid w:val="0"/>
        <w:spacing w:line="360" w:lineRule="auto"/>
        <w:jc w:val="center"/>
        <w:rPr>
          <w:rFonts w:asciiTheme="minorEastAsia" w:hAnsiTheme="minorEastAsia" w:cs="Arial"/>
          <w:sz w:val="24"/>
        </w:rPr>
      </w:pPr>
    </w:p>
    <w:p w:rsidR="002F4F6D" w:rsidRDefault="002F4F6D">
      <w:pPr>
        <w:adjustRightInd w:val="0"/>
        <w:snapToGrid w:val="0"/>
        <w:spacing w:line="360" w:lineRule="auto"/>
        <w:jc w:val="center"/>
        <w:rPr>
          <w:rFonts w:asciiTheme="minorEastAsia" w:hAnsiTheme="minorEastAsia" w:cs="Arial"/>
          <w:sz w:val="24"/>
        </w:rPr>
      </w:pPr>
    </w:p>
    <w:p w:rsidR="002F4F6D" w:rsidRDefault="007A5871" w:rsidP="002454B4">
      <w:pPr>
        <w:adjustRightInd w:val="0"/>
        <w:snapToGrid w:val="0"/>
        <w:spacing w:line="360" w:lineRule="auto"/>
        <w:ind w:leftChars="-202" w:left="-424"/>
        <w:jc w:val="center"/>
        <w:rPr>
          <w:rFonts w:asciiTheme="minorEastAsia" w:hAnsiTheme="minorEastAsia" w:cs="Arial"/>
          <w:b/>
          <w:sz w:val="44"/>
        </w:rPr>
      </w:pPr>
      <w:r>
        <w:rPr>
          <w:rFonts w:asciiTheme="minorEastAsia" w:hAnsiTheme="minorEastAsia" w:cs="Arial"/>
          <w:b/>
          <w:sz w:val="44"/>
        </w:rPr>
        <w:t>广</w:t>
      </w:r>
      <w:proofErr w:type="gramStart"/>
      <w:r>
        <w:rPr>
          <w:rFonts w:asciiTheme="minorEastAsia" w:hAnsiTheme="minorEastAsia" w:cs="Arial"/>
          <w:b/>
          <w:sz w:val="44"/>
        </w:rPr>
        <w:t>发</w:t>
      </w:r>
      <w:r w:rsidR="00FB41DB">
        <w:rPr>
          <w:rFonts w:asciiTheme="minorEastAsia" w:hAnsiTheme="minorEastAsia" w:cs="Arial"/>
          <w:b/>
          <w:sz w:val="44"/>
        </w:rPr>
        <w:t>成长</w:t>
      </w:r>
      <w:proofErr w:type="gramEnd"/>
      <w:r w:rsidR="00FB41DB">
        <w:rPr>
          <w:rFonts w:asciiTheme="minorEastAsia" w:hAnsiTheme="minorEastAsia" w:cs="Arial"/>
          <w:b/>
          <w:sz w:val="44"/>
        </w:rPr>
        <w:t>领航</w:t>
      </w:r>
      <w:r>
        <w:rPr>
          <w:rFonts w:asciiTheme="minorEastAsia" w:hAnsiTheme="minorEastAsia" w:cs="Arial"/>
          <w:b/>
          <w:sz w:val="44"/>
        </w:rPr>
        <w:t>一年持有期混合型证券投资基金</w:t>
      </w:r>
      <w:r>
        <w:rPr>
          <w:rFonts w:asciiTheme="minorEastAsia" w:hAnsiTheme="minorEastAsia" w:cs="Arial" w:hint="eastAsia"/>
          <w:b/>
          <w:sz w:val="44"/>
        </w:rPr>
        <w:t>托管协议</w:t>
      </w:r>
    </w:p>
    <w:p w:rsidR="002F4F6D" w:rsidRDefault="002F4F6D">
      <w:pPr>
        <w:rPr>
          <w:rFonts w:asciiTheme="minorEastAsia" w:hAnsiTheme="minorEastAsia"/>
        </w:rPr>
      </w:pPr>
    </w:p>
    <w:p w:rsidR="002F4F6D" w:rsidRDefault="002F4F6D">
      <w:pPr>
        <w:rPr>
          <w:rFonts w:asciiTheme="minorEastAsia" w:hAnsiTheme="minorEastAsia"/>
        </w:rPr>
      </w:pPr>
    </w:p>
    <w:p w:rsidR="002F4F6D" w:rsidRDefault="002F4F6D">
      <w:pPr>
        <w:rPr>
          <w:rFonts w:asciiTheme="minorEastAsia" w:hAnsiTheme="minorEastAsia"/>
        </w:rPr>
      </w:pPr>
    </w:p>
    <w:p w:rsidR="002F4F6D" w:rsidRDefault="002F4F6D">
      <w:pPr>
        <w:rPr>
          <w:rFonts w:asciiTheme="minorEastAsia" w:hAnsiTheme="minorEastAsia"/>
        </w:rPr>
      </w:pPr>
    </w:p>
    <w:p w:rsidR="002F4F6D" w:rsidRDefault="002F4F6D">
      <w:pPr>
        <w:rPr>
          <w:rFonts w:asciiTheme="minorEastAsia" w:hAnsiTheme="minorEastAsia"/>
        </w:rPr>
      </w:pPr>
    </w:p>
    <w:p w:rsidR="002F4F6D" w:rsidRDefault="002F4F6D">
      <w:pPr>
        <w:rPr>
          <w:rFonts w:asciiTheme="minorEastAsia" w:hAnsiTheme="minorEastAsia"/>
        </w:rPr>
      </w:pPr>
    </w:p>
    <w:p w:rsidR="002F4F6D" w:rsidRDefault="002F4F6D">
      <w:pPr>
        <w:rPr>
          <w:rFonts w:asciiTheme="minorEastAsia" w:hAnsiTheme="minorEastAsia"/>
        </w:rPr>
      </w:pPr>
    </w:p>
    <w:p w:rsidR="002F4F6D" w:rsidRDefault="002F4F6D">
      <w:pPr>
        <w:rPr>
          <w:rFonts w:asciiTheme="minorEastAsia" w:hAnsiTheme="minorEastAsia"/>
        </w:rPr>
      </w:pPr>
    </w:p>
    <w:p w:rsidR="002F4F6D" w:rsidRDefault="002F4F6D">
      <w:pPr>
        <w:rPr>
          <w:rFonts w:asciiTheme="minorEastAsia" w:hAnsiTheme="minorEastAsia"/>
        </w:rPr>
      </w:pPr>
    </w:p>
    <w:p w:rsidR="002F4F6D" w:rsidRDefault="002F4F6D">
      <w:pPr>
        <w:rPr>
          <w:rFonts w:asciiTheme="minorEastAsia" w:hAnsiTheme="minorEastAsia"/>
        </w:rPr>
      </w:pPr>
    </w:p>
    <w:p w:rsidR="002F4F6D" w:rsidRDefault="002F4F6D">
      <w:pPr>
        <w:rPr>
          <w:rFonts w:asciiTheme="minorEastAsia" w:hAnsiTheme="minorEastAsia"/>
        </w:rPr>
      </w:pPr>
    </w:p>
    <w:p w:rsidR="002F4F6D" w:rsidRDefault="002F4F6D">
      <w:pPr>
        <w:rPr>
          <w:rFonts w:asciiTheme="minorEastAsia" w:hAnsiTheme="minorEastAsia"/>
        </w:rPr>
      </w:pPr>
    </w:p>
    <w:p w:rsidR="002F4F6D" w:rsidRDefault="002F4F6D">
      <w:pPr>
        <w:rPr>
          <w:rFonts w:asciiTheme="minorEastAsia" w:hAnsiTheme="minorEastAsia"/>
        </w:rPr>
      </w:pPr>
    </w:p>
    <w:p w:rsidR="002F4F6D" w:rsidRDefault="007A5871">
      <w:pPr>
        <w:adjustRightInd w:val="0"/>
        <w:snapToGrid w:val="0"/>
        <w:spacing w:line="360" w:lineRule="auto"/>
        <w:outlineLvl w:val="0"/>
        <w:rPr>
          <w:rFonts w:asciiTheme="minorEastAsia" w:hAnsiTheme="minorEastAsia" w:cs="Arial"/>
          <w:b/>
          <w:bCs/>
          <w:sz w:val="28"/>
        </w:rPr>
      </w:pPr>
      <w:r>
        <w:rPr>
          <w:rFonts w:asciiTheme="minorEastAsia" w:hAnsiTheme="minorEastAsia" w:cs="Arial" w:hint="eastAsia"/>
          <w:sz w:val="24"/>
        </w:rPr>
        <w:t xml:space="preserve">                 </w:t>
      </w:r>
      <w:r>
        <w:rPr>
          <w:rFonts w:asciiTheme="minorEastAsia" w:hAnsiTheme="minorEastAsia" w:cs="Arial" w:hint="eastAsia"/>
          <w:b/>
          <w:bCs/>
          <w:sz w:val="28"/>
        </w:rPr>
        <w:t>基金管理人：广发基金管理有限公司</w:t>
      </w:r>
    </w:p>
    <w:p w:rsidR="002F4F6D" w:rsidRDefault="007A5871">
      <w:pPr>
        <w:adjustRightInd w:val="0"/>
        <w:snapToGrid w:val="0"/>
        <w:spacing w:line="360" w:lineRule="auto"/>
        <w:outlineLvl w:val="0"/>
        <w:rPr>
          <w:rFonts w:asciiTheme="minorEastAsia" w:hAnsiTheme="minorEastAsia" w:cs="Arial"/>
          <w:b/>
          <w:bCs/>
          <w:sz w:val="28"/>
        </w:rPr>
      </w:pPr>
      <w:r>
        <w:rPr>
          <w:rFonts w:asciiTheme="minorEastAsia" w:hAnsiTheme="minorEastAsia" w:cs="Arial" w:hint="eastAsia"/>
          <w:sz w:val="24"/>
        </w:rPr>
        <w:t xml:space="preserve">                 </w:t>
      </w:r>
      <w:r>
        <w:rPr>
          <w:rFonts w:asciiTheme="minorEastAsia" w:hAnsiTheme="minorEastAsia" w:cs="Arial" w:hint="eastAsia"/>
          <w:b/>
          <w:bCs/>
          <w:sz w:val="28"/>
        </w:rPr>
        <w:t>基金托管人：中国建设银行股份有限公司</w:t>
      </w:r>
    </w:p>
    <w:p w:rsidR="002F4F6D" w:rsidRDefault="002F4F6D">
      <w:pPr>
        <w:rPr>
          <w:rFonts w:asciiTheme="minorEastAsia" w:hAnsiTheme="minorEastAsia"/>
        </w:rPr>
      </w:pPr>
    </w:p>
    <w:p w:rsidR="002F4F6D" w:rsidRDefault="002F4F6D">
      <w:pPr>
        <w:adjustRightInd w:val="0"/>
        <w:snapToGrid w:val="0"/>
        <w:spacing w:line="360" w:lineRule="auto"/>
        <w:outlineLvl w:val="0"/>
        <w:rPr>
          <w:rFonts w:asciiTheme="minorEastAsia" w:hAnsiTheme="minorEastAsia"/>
        </w:rPr>
      </w:pPr>
    </w:p>
    <w:p w:rsidR="002F4F6D" w:rsidRDefault="002F4F6D">
      <w:pPr>
        <w:adjustRightInd w:val="0"/>
        <w:snapToGrid w:val="0"/>
        <w:spacing w:line="360" w:lineRule="auto"/>
        <w:outlineLvl w:val="0"/>
        <w:rPr>
          <w:rFonts w:asciiTheme="minorEastAsia" w:hAnsiTheme="minorEastAsia"/>
        </w:rPr>
      </w:pPr>
    </w:p>
    <w:p w:rsidR="002F4F6D" w:rsidRDefault="002F4F6D">
      <w:pPr>
        <w:adjustRightInd w:val="0"/>
        <w:snapToGrid w:val="0"/>
        <w:spacing w:line="360" w:lineRule="auto"/>
        <w:outlineLvl w:val="0"/>
        <w:rPr>
          <w:rFonts w:asciiTheme="minorEastAsia" w:hAnsiTheme="minorEastAsia"/>
        </w:rPr>
      </w:pPr>
    </w:p>
    <w:p w:rsidR="002F4F6D" w:rsidRDefault="002F4F6D">
      <w:pPr>
        <w:jc w:val="center"/>
        <w:rPr>
          <w:rFonts w:asciiTheme="minorEastAsia" w:hAnsiTheme="minorEastAsia"/>
          <w:sz w:val="32"/>
        </w:rPr>
        <w:sectPr w:rsidR="002F4F6D">
          <w:headerReference w:type="default" r:id="rId8"/>
          <w:footerReference w:type="even" r:id="rId9"/>
          <w:headerReference w:type="first" r:id="rId10"/>
          <w:pgSz w:w="11906" w:h="16838"/>
          <w:pgMar w:top="1418" w:right="1701" w:bottom="1418" w:left="1701" w:header="851" w:footer="992" w:gutter="0"/>
          <w:cols w:space="425"/>
          <w:docGrid w:type="lines" w:linePitch="312"/>
        </w:sectPr>
      </w:pPr>
    </w:p>
    <w:p w:rsidR="002F4F6D" w:rsidRDefault="007A5871">
      <w:pPr>
        <w:spacing w:line="360" w:lineRule="auto"/>
        <w:jc w:val="center"/>
        <w:rPr>
          <w:rFonts w:asciiTheme="minorEastAsia" w:hAnsiTheme="minorEastAsia"/>
          <w:b/>
          <w:bCs/>
          <w:sz w:val="30"/>
        </w:rPr>
      </w:pPr>
      <w:r>
        <w:rPr>
          <w:rFonts w:asciiTheme="minorEastAsia" w:hAnsiTheme="minorEastAsia" w:hint="eastAsia"/>
          <w:b/>
          <w:bCs/>
          <w:sz w:val="30"/>
        </w:rPr>
        <w:lastRenderedPageBreak/>
        <w:t>目    录</w:t>
      </w:r>
    </w:p>
    <w:p w:rsidR="002F4F6D" w:rsidRDefault="002F4F6D">
      <w:pPr>
        <w:spacing w:line="360" w:lineRule="auto"/>
        <w:jc w:val="center"/>
        <w:rPr>
          <w:rFonts w:asciiTheme="minorEastAsia" w:hAnsiTheme="minorEastAsia"/>
          <w:b/>
          <w:bCs/>
          <w:sz w:val="30"/>
        </w:rPr>
      </w:pPr>
    </w:p>
    <w:p w:rsidR="002F4F6D" w:rsidRDefault="007A5871">
      <w:pPr>
        <w:pStyle w:val="23"/>
      </w:pPr>
      <w:r>
        <w:rPr>
          <w:rFonts w:hint="eastAsia"/>
          <w:sz w:val="28"/>
        </w:rPr>
        <w:fldChar w:fldCharType="begin"/>
      </w:r>
      <w:r>
        <w:rPr>
          <w:sz w:val="28"/>
        </w:rPr>
        <w:instrText xml:space="preserve"> TOC \o "1-2" \h \z </w:instrText>
      </w:r>
      <w:r>
        <w:rPr>
          <w:rFonts w:hint="eastAsia"/>
          <w:sz w:val="28"/>
        </w:rPr>
        <w:fldChar w:fldCharType="separate"/>
      </w:r>
      <w:hyperlink w:anchor="_Toc124325885" w:history="1">
        <w:r>
          <w:rPr>
            <w:rStyle w:val="af6"/>
            <w:rFonts w:asciiTheme="minorEastAsia" w:eastAsiaTheme="minorEastAsia" w:hAnsiTheme="minorEastAsia" w:hint="eastAsia"/>
            <w:color w:val="auto"/>
            <w:sz w:val="24"/>
            <w:szCs w:val="32"/>
            <w:u w:val="none"/>
          </w:rPr>
          <w:t>一、基金托管协议当事人</w:t>
        </w:r>
        <w:r>
          <w:tab/>
        </w:r>
        <w:r>
          <w:rPr>
            <w:rFonts w:hint="eastAsia"/>
          </w:rPr>
          <w:fldChar w:fldCharType="begin"/>
        </w:r>
        <w:r>
          <w:instrText xml:space="preserve"> PAGEREF _Toc124325885 \h </w:instrText>
        </w:r>
        <w:r>
          <w:rPr>
            <w:rFonts w:hint="eastAsia"/>
          </w:rPr>
        </w:r>
        <w:r>
          <w:rPr>
            <w:rFonts w:hint="eastAsia"/>
          </w:rPr>
          <w:fldChar w:fldCharType="separate"/>
        </w:r>
        <w:r w:rsidR="0024705C">
          <w:rPr>
            <w:noProof/>
          </w:rPr>
          <w:t>1</w:t>
        </w:r>
        <w:r>
          <w:rPr>
            <w:rFonts w:hint="eastAsia"/>
          </w:rPr>
          <w:fldChar w:fldCharType="end"/>
        </w:r>
      </w:hyperlink>
    </w:p>
    <w:p w:rsidR="002F4F6D" w:rsidRDefault="006816B6">
      <w:pPr>
        <w:pStyle w:val="23"/>
      </w:pPr>
      <w:hyperlink w:anchor="_Toc124325886" w:history="1">
        <w:r w:rsidR="007A5871">
          <w:rPr>
            <w:rStyle w:val="af6"/>
            <w:rFonts w:asciiTheme="minorEastAsia" w:eastAsiaTheme="minorEastAsia" w:hAnsiTheme="minorEastAsia" w:hint="eastAsia"/>
            <w:color w:val="auto"/>
            <w:sz w:val="24"/>
            <w:szCs w:val="32"/>
            <w:u w:val="none"/>
          </w:rPr>
          <w:t>二、基金托管协议的依据、目的和原则</w:t>
        </w:r>
        <w:r w:rsidR="007A5871">
          <w:rPr>
            <w:rFonts w:hint="eastAsia"/>
          </w:rPr>
          <w:tab/>
        </w:r>
        <w:r w:rsidR="007A5871">
          <w:rPr>
            <w:rFonts w:hint="eastAsia"/>
          </w:rPr>
          <w:fldChar w:fldCharType="begin"/>
        </w:r>
        <w:r w:rsidR="007A5871">
          <w:instrText xml:space="preserve"> PAGEREF _Toc124325886 \h </w:instrText>
        </w:r>
        <w:r w:rsidR="007A5871">
          <w:rPr>
            <w:rFonts w:hint="eastAsia"/>
          </w:rPr>
        </w:r>
        <w:r w:rsidR="007A5871">
          <w:rPr>
            <w:rFonts w:hint="eastAsia"/>
          </w:rPr>
          <w:fldChar w:fldCharType="separate"/>
        </w:r>
        <w:r w:rsidR="0024705C">
          <w:rPr>
            <w:noProof/>
          </w:rPr>
          <w:t>2</w:t>
        </w:r>
        <w:r w:rsidR="007A5871">
          <w:rPr>
            <w:rFonts w:hint="eastAsia"/>
          </w:rPr>
          <w:fldChar w:fldCharType="end"/>
        </w:r>
      </w:hyperlink>
    </w:p>
    <w:p w:rsidR="002F4F6D" w:rsidRDefault="006816B6">
      <w:pPr>
        <w:pStyle w:val="23"/>
      </w:pPr>
      <w:hyperlink w:anchor="_Toc124325887" w:history="1">
        <w:r w:rsidR="007A5871">
          <w:rPr>
            <w:rStyle w:val="af6"/>
            <w:rFonts w:asciiTheme="minorEastAsia" w:eastAsiaTheme="minorEastAsia" w:hAnsiTheme="minorEastAsia" w:hint="eastAsia"/>
            <w:color w:val="auto"/>
            <w:sz w:val="24"/>
            <w:szCs w:val="32"/>
            <w:u w:val="none"/>
          </w:rPr>
          <w:t>三、基金托管人对基金管理人的业务监督和核查</w:t>
        </w:r>
        <w:r w:rsidR="007A5871">
          <w:rPr>
            <w:rFonts w:hint="eastAsia"/>
          </w:rPr>
          <w:tab/>
        </w:r>
        <w:r w:rsidR="007A5871">
          <w:rPr>
            <w:rFonts w:hint="eastAsia"/>
          </w:rPr>
          <w:fldChar w:fldCharType="begin"/>
        </w:r>
        <w:r w:rsidR="007A5871">
          <w:instrText xml:space="preserve"> PAGEREF _Toc124325887 \h </w:instrText>
        </w:r>
        <w:r w:rsidR="007A5871">
          <w:rPr>
            <w:rFonts w:hint="eastAsia"/>
          </w:rPr>
        </w:r>
        <w:r w:rsidR="007A5871">
          <w:rPr>
            <w:rFonts w:hint="eastAsia"/>
          </w:rPr>
          <w:fldChar w:fldCharType="separate"/>
        </w:r>
        <w:r w:rsidR="0024705C">
          <w:rPr>
            <w:noProof/>
          </w:rPr>
          <w:t>3</w:t>
        </w:r>
        <w:r w:rsidR="007A5871">
          <w:rPr>
            <w:rFonts w:hint="eastAsia"/>
          </w:rPr>
          <w:fldChar w:fldCharType="end"/>
        </w:r>
      </w:hyperlink>
    </w:p>
    <w:p w:rsidR="002F4F6D" w:rsidRDefault="006816B6">
      <w:pPr>
        <w:pStyle w:val="23"/>
      </w:pPr>
      <w:hyperlink w:anchor="_Toc124325888" w:history="1">
        <w:r w:rsidR="007A5871">
          <w:rPr>
            <w:rStyle w:val="af6"/>
            <w:rFonts w:asciiTheme="minorEastAsia" w:eastAsiaTheme="minorEastAsia" w:hAnsiTheme="minorEastAsia" w:hint="eastAsia"/>
            <w:color w:val="auto"/>
            <w:sz w:val="24"/>
            <w:szCs w:val="32"/>
            <w:u w:val="none"/>
          </w:rPr>
          <w:t>四、基金管理人对基金托管人的业务核查</w:t>
        </w:r>
        <w:r w:rsidR="007A5871">
          <w:rPr>
            <w:rFonts w:hint="eastAsia"/>
          </w:rPr>
          <w:tab/>
        </w:r>
        <w:r w:rsidR="007A5871">
          <w:rPr>
            <w:rFonts w:hint="eastAsia"/>
          </w:rPr>
          <w:fldChar w:fldCharType="begin"/>
        </w:r>
        <w:r w:rsidR="007A5871">
          <w:instrText xml:space="preserve"> PAGEREF _Toc124325888 \h </w:instrText>
        </w:r>
        <w:r w:rsidR="007A5871">
          <w:rPr>
            <w:rFonts w:hint="eastAsia"/>
          </w:rPr>
        </w:r>
        <w:r w:rsidR="007A5871">
          <w:rPr>
            <w:rFonts w:hint="eastAsia"/>
          </w:rPr>
          <w:fldChar w:fldCharType="separate"/>
        </w:r>
        <w:r w:rsidR="0024705C">
          <w:rPr>
            <w:noProof/>
          </w:rPr>
          <w:t>9</w:t>
        </w:r>
        <w:r w:rsidR="007A5871">
          <w:rPr>
            <w:rFonts w:hint="eastAsia"/>
          </w:rPr>
          <w:fldChar w:fldCharType="end"/>
        </w:r>
      </w:hyperlink>
    </w:p>
    <w:p w:rsidR="002F4F6D" w:rsidRDefault="006816B6">
      <w:pPr>
        <w:pStyle w:val="23"/>
      </w:pPr>
      <w:hyperlink w:anchor="_Toc124325889" w:history="1">
        <w:r w:rsidR="007A5871">
          <w:rPr>
            <w:rStyle w:val="af6"/>
            <w:rFonts w:asciiTheme="minorEastAsia" w:eastAsiaTheme="minorEastAsia" w:hAnsiTheme="minorEastAsia" w:hint="eastAsia"/>
            <w:color w:val="auto"/>
            <w:sz w:val="24"/>
            <w:szCs w:val="32"/>
            <w:u w:val="none"/>
          </w:rPr>
          <w:t>五、基金财产的保管</w:t>
        </w:r>
        <w:r w:rsidR="007A5871">
          <w:rPr>
            <w:rFonts w:hint="eastAsia"/>
          </w:rPr>
          <w:tab/>
        </w:r>
        <w:r w:rsidR="007A5871">
          <w:rPr>
            <w:rFonts w:hint="eastAsia"/>
          </w:rPr>
          <w:fldChar w:fldCharType="begin"/>
        </w:r>
        <w:r w:rsidR="007A5871">
          <w:instrText xml:space="preserve"> PAGEREF _Toc124325889 \h </w:instrText>
        </w:r>
        <w:r w:rsidR="007A5871">
          <w:rPr>
            <w:rFonts w:hint="eastAsia"/>
          </w:rPr>
        </w:r>
        <w:r w:rsidR="007A5871">
          <w:rPr>
            <w:rFonts w:hint="eastAsia"/>
          </w:rPr>
          <w:fldChar w:fldCharType="separate"/>
        </w:r>
        <w:r w:rsidR="0024705C">
          <w:rPr>
            <w:noProof/>
          </w:rPr>
          <w:t>10</w:t>
        </w:r>
        <w:r w:rsidR="007A5871">
          <w:rPr>
            <w:rFonts w:hint="eastAsia"/>
          </w:rPr>
          <w:fldChar w:fldCharType="end"/>
        </w:r>
      </w:hyperlink>
    </w:p>
    <w:p w:rsidR="002F4F6D" w:rsidRDefault="006816B6">
      <w:pPr>
        <w:pStyle w:val="23"/>
      </w:pPr>
      <w:hyperlink w:anchor="_Toc124325890" w:history="1">
        <w:r w:rsidR="007A5871">
          <w:rPr>
            <w:rStyle w:val="af6"/>
            <w:rFonts w:asciiTheme="minorEastAsia" w:eastAsiaTheme="minorEastAsia" w:hAnsiTheme="minorEastAsia" w:hint="eastAsia"/>
            <w:color w:val="auto"/>
            <w:sz w:val="24"/>
            <w:szCs w:val="32"/>
            <w:u w:val="none"/>
          </w:rPr>
          <w:t>六、指令的发送、确认及执行</w:t>
        </w:r>
        <w:r w:rsidR="007A5871">
          <w:rPr>
            <w:rFonts w:hint="eastAsia"/>
          </w:rPr>
          <w:tab/>
        </w:r>
        <w:r w:rsidR="007A5871">
          <w:rPr>
            <w:rFonts w:hint="eastAsia"/>
          </w:rPr>
          <w:fldChar w:fldCharType="begin"/>
        </w:r>
        <w:r w:rsidR="007A5871">
          <w:instrText xml:space="preserve"> PAGEREF _Toc124325890 \h </w:instrText>
        </w:r>
        <w:r w:rsidR="007A5871">
          <w:rPr>
            <w:rFonts w:hint="eastAsia"/>
          </w:rPr>
        </w:r>
        <w:r w:rsidR="007A5871">
          <w:rPr>
            <w:rFonts w:hint="eastAsia"/>
          </w:rPr>
          <w:fldChar w:fldCharType="separate"/>
        </w:r>
        <w:r w:rsidR="0024705C">
          <w:rPr>
            <w:noProof/>
          </w:rPr>
          <w:t>13</w:t>
        </w:r>
        <w:r w:rsidR="007A5871">
          <w:rPr>
            <w:rFonts w:hint="eastAsia"/>
          </w:rPr>
          <w:fldChar w:fldCharType="end"/>
        </w:r>
      </w:hyperlink>
    </w:p>
    <w:p w:rsidR="002F4F6D" w:rsidRDefault="006816B6">
      <w:pPr>
        <w:pStyle w:val="23"/>
      </w:pPr>
      <w:hyperlink w:anchor="_Toc124325891" w:history="1">
        <w:r w:rsidR="007A5871">
          <w:rPr>
            <w:rStyle w:val="af6"/>
            <w:rFonts w:asciiTheme="minorEastAsia" w:eastAsiaTheme="minorEastAsia" w:hAnsiTheme="minorEastAsia" w:hint="eastAsia"/>
            <w:color w:val="auto"/>
            <w:sz w:val="24"/>
            <w:szCs w:val="32"/>
            <w:u w:val="none"/>
          </w:rPr>
          <w:t>七、交易及清算交收安排</w:t>
        </w:r>
        <w:r w:rsidR="007A5871">
          <w:rPr>
            <w:rFonts w:hint="eastAsia"/>
          </w:rPr>
          <w:tab/>
        </w:r>
        <w:r w:rsidR="007A5871">
          <w:rPr>
            <w:rFonts w:hint="eastAsia"/>
          </w:rPr>
          <w:fldChar w:fldCharType="begin"/>
        </w:r>
        <w:r w:rsidR="007A5871">
          <w:instrText xml:space="preserve"> PAGEREF _Toc124325891 \h </w:instrText>
        </w:r>
        <w:r w:rsidR="007A5871">
          <w:rPr>
            <w:rFonts w:hint="eastAsia"/>
          </w:rPr>
        </w:r>
        <w:r w:rsidR="007A5871">
          <w:rPr>
            <w:rFonts w:hint="eastAsia"/>
          </w:rPr>
          <w:fldChar w:fldCharType="separate"/>
        </w:r>
        <w:r w:rsidR="0024705C">
          <w:rPr>
            <w:noProof/>
          </w:rPr>
          <w:t>16</w:t>
        </w:r>
        <w:r w:rsidR="007A5871">
          <w:rPr>
            <w:rFonts w:hint="eastAsia"/>
          </w:rPr>
          <w:fldChar w:fldCharType="end"/>
        </w:r>
      </w:hyperlink>
    </w:p>
    <w:p w:rsidR="002F4F6D" w:rsidRDefault="006816B6">
      <w:pPr>
        <w:pStyle w:val="23"/>
      </w:pPr>
      <w:hyperlink w:anchor="_Toc124325892" w:history="1">
        <w:r w:rsidR="007A5871">
          <w:rPr>
            <w:rStyle w:val="af6"/>
            <w:rFonts w:asciiTheme="minorEastAsia" w:eastAsiaTheme="minorEastAsia" w:hAnsiTheme="minorEastAsia" w:hint="eastAsia"/>
            <w:color w:val="auto"/>
            <w:sz w:val="24"/>
            <w:szCs w:val="32"/>
            <w:u w:val="none"/>
          </w:rPr>
          <w:t>八、基金资产净值计算和会计核算</w:t>
        </w:r>
        <w:r w:rsidR="007A5871">
          <w:rPr>
            <w:rFonts w:hint="eastAsia"/>
          </w:rPr>
          <w:tab/>
        </w:r>
        <w:r w:rsidR="007A5871">
          <w:rPr>
            <w:rFonts w:hint="eastAsia"/>
          </w:rPr>
          <w:fldChar w:fldCharType="begin"/>
        </w:r>
        <w:r w:rsidR="007A5871">
          <w:instrText xml:space="preserve"> PAGEREF _Toc124325892 \h </w:instrText>
        </w:r>
        <w:r w:rsidR="007A5871">
          <w:rPr>
            <w:rFonts w:hint="eastAsia"/>
          </w:rPr>
        </w:r>
        <w:r w:rsidR="007A5871">
          <w:rPr>
            <w:rFonts w:hint="eastAsia"/>
          </w:rPr>
          <w:fldChar w:fldCharType="separate"/>
        </w:r>
        <w:r w:rsidR="0024705C">
          <w:rPr>
            <w:noProof/>
          </w:rPr>
          <w:t>21</w:t>
        </w:r>
        <w:r w:rsidR="007A5871">
          <w:rPr>
            <w:rFonts w:hint="eastAsia"/>
          </w:rPr>
          <w:fldChar w:fldCharType="end"/>
        </w:r>
      </w:hyperlink>
    </w:p>
    <w:p w:rsidR="002F4F6D" w:rsidRDefault="006816B6">
      <w:pPr>
        <w:pStyle w:val="23"/>
      </w:pPr>
      <w:hyperlink w:anchor="_Toc124325893" w:history="1">
        <w:r w:rsidR="007A5871">
          <w:rPr>
            <w:rStyle w:val="af6"/>
            <w:rFonts w:asciiTheme="minorEastAsia" w:eastAsiaTheme="minorEastAsia" w:hAnsiTheme="minorEastAsia" w:hint="eastAsia"/>
            <w:color w:val="auto"/>
            <w:sz w:val="24"/>
            <w:szCs w:val="32"/>
            <w:u w:val="none"/>
          </w:rPr>
          <w:t>九、基金收益分配</w:t>
        </w:r>
        <w:r w:rsidR="007A5871">
          <w:rPr>
            <w:rFonts w:hint="eastAsia"/>
          </w:rPr>
          <w:tab/>
        </w:r>
        <w:r w:rsidR="007A5871">
          <w:rPr>
            <w:rFonts w:hint="eastAsia"/>
          </w:rPr>
          <w:fldChar w:fldCharType="begin"/>
        </w:r>
        <w:r w:rsidR="007A5871">
          <w:instrText xml:space="preserve"> PAGEREF _Toc124325893 \h </w:instrText>
        </w:r>
        <w:r w:rsidR="007A5871">
          <w:rPr>
            <w:rFonts w:hint="eastAsia"/>
          </w:rPr>
        </w:r>
        <w:r w:rsidR="007A5871">
          <w:rPr>
            <w:rFonts w:hint="eastAsia"/>
          </w:rPr>
          <w:fldChar w:fldCharType="separate"/>
        </w:r>
        <w:r w:rsidR="0024705C">
          <w:rPr>
            <w:noProof/>
          </w:rPr>
          <w:t>26</w:t>
        </w:r>
        <w:r w:rsidR="007A5871">
          <w:rPr>
            <w:rFonts w:hint="eastAsia"/>
          </w:rPr>
          <w:fldChar w:fldCharType="end"/>
        </w:r>
      </w:hyperlink>
    </w:p>
    <w:p w:rsidR="002F4F6D" w:rsidRDefault="006816B6">
      <w:pPr>
        <w:pStyle w:val="23"/>
      </w:pPr>
      <w:hyperlink w:anchor="_Toc124325894" w:history="1">
        <w:r w:rsidR="007A5871">
          <w:rPr>
            <w:rStyle w:val="af6"/>
            <w:rFonts w:asciiTheme="minorEastAsia" w:eastAsiaTheme="minorEastAsia" w:hAnsiTheme="minorEastAsia" w:hint="eastAsia"/>
            <w:color w:val="auto"/>
            <w:sz w:val="24"/>
            <w:szCs w:val="32"/>
            <w:u w:val="none"/>
          </w:rPr>
          <w:t>十、基金信息披露</w:t>
        </w:r>
        <w:r w:rsidR="007A5871">
          <w:rPr>
            <w:rFonts w:hint="eastAsia"/>
          </w:rPr>
          <w:tab/>
        </w:r>
        <w:r w:rsidR="007A5871">
          <w:rPr>
            <w:rFonts w:hint="eastAsia"/>
          </w:rPr>
          <w:fldChar w:fldCharType="begin"/>
        </w:r>
        <w:r w:rsidR="007A5871">
          <w:instrText xml:space="preserve"> PAGEREF _Toc124325894 \h </w:instrText>
        </w:r>
        <w:r w:rsidR="007A5871">
          <w:rPr>
            <w:rFonts w:hint="eastAsia"/>
          </w:rPr>
        </w:r>
        <w:r w:rsidR="007A5871">
          <w:rPr>
            <w:rFonts w:hint="eastAsia"/>
          </w:rPr>
          <w:fldChar w:fldCharType="separate"/>
        </w:r>
        <w:r w:rsidR="0024705C">
          <w:rPr>
            <w:noProof/>
          </w:rPr>
          <w:t>27</w:t>
        </w:r>
        <w:r w:rsidR="007A5871">
          <w:rPr>
            <w:rFonts w:hint="eastAsia"/>
          </w:rPr>
          <w:fldChar w:fldCharType="end"/>
        </w:r>
      </w:hyperlink>
    </w:p>
    <w:p w:rsidR="002F4F6D" w:rsidRDefault="006816B6">
      <w:pPr>
        <w:pStyle w:val="23"/>
      </w:pPr>
      <w:hyperlink w:anchor="_Toc124325895" w:history="1">
        <w:r w:rsidR="007A5871">
          <w:rPr>
            <w:rStyle w:val="af6"/>
            <w:rFonts w:asciiTheme="minorEastAsia" w:eastAsiaTheme="minorEastAsia" w:hAnsiTheme="minorEastAsia" w:hint="eastAsia"/>
            <w:color w:val="auto"/>
            <w:sz w:val="24"/>
            <w:szCs w:val="32"/>
            <w:u w:val="none"/>
          </w:rPr>
          <w:t>十一、基金费用</w:t>
        </w:r>
        <w:r w:rsidR="007A5871">
          <w:rPr>
            <w:rFonts w:hint="eastAsia"/>
          </w:rPr>
          <w:tab/>
        </w:r>
        <w:r w:rsidR="007A5871">
          <w:rPr>
            <w:rFonts w:hint="eastAsia"/>
          </w:rPr>
          <w:fldChar w:fldCharType="begin"/>
        </w:r>
        <w:r w:rsidR="007A5871">
          <w:instrText xml:space="preserve"> PAGEREF _Toc124325895 \h </w:instrText>
        </w:r>
        <w:r w:rsidR="007A5871">
          <w:rPr>
            <w:rFonts w:hint="eastAsia"/>
          </w:rPr>
        </w:r>
        <w:r w:rsidR="007A5871">
          <w:rPr>
            <w:rFonts w:hint="eastAsia"/>
          </w:rPr>
          <w:fldChar w:fldCharType="separate"/>
        </w:r>
        <w:r w:rsidR="0024705C">
          <w:rPr>
            <w:noProof/>
          </w:rPr>
          <w:t>29</w:t>
        </w:r>
        <w:r w:rsidR="007A5871">
          <w:rPr>
            <w:rFonts w:hint="eastAsia"/>
          </w:rPr>
          <w:fldChar w:fldCharType="end"/>
        </w:r>
      </w:hyperlink>
    </w:p>
    <w:p w:rsidR="002F4F6D" w:rsidRDefault="006816B6">
      <w:pPr>
        <w:pStyle w:val="23"/>
      </w:pPr>
      <w:hyperlink w:anchor="_Toc124325896" w:history="1">
        <w:r w:rsidR="007A5871">
          <w:rPr>
            <w:rStyle w:val="af6"/>
            <w:rFonts w:asciiTheme="minorEastAsia" w:eastAsiaTheme="minorEastAsia" w:hAnsiTheme="minorEastAsia" w:hint="eastAsia"/>
            <w:color w:val="auto"/>
            <w:sz w:val="24"/>
            <w:szCs w:val="32"/>
            <w:u w:val="none"/>
          </w:rPr>
          <w:t>十二、基金份额持有人名册的保管</w:t>
        </w:r>
        <w:r w:rsidR="007A5871">
          <w:rPr>
            <w:rFonts w:hint="eastAsia"/>
          </w:rPr>
          <w:tab/>
        </w:r>
        <w:r w:rsidR="007A5871">
          <w:rPr>
            <w:rFonts w:hint="eastAsia"/>
          </w:rPr>
          <w:fldChar w:fldCharType="begin"/>
        </w:r>
        <w:r w:rsidR="007A5871">
          <w:instrText xml:space="preserve"> PAGEREF _Toc124325896 \h </w:instrText>
        </w:r>
        <w:r w:rsidR="007A5871">
          <w:rPr>
            <w:rFonts w:hint="eastAsia"/>
          </w:rPr>
        </w:r>
        <w:r w:rsidR="007A5871">
          <w:rPr>
            <w:rFonts w:hint="eastAsia"/>
          </w:rPr>
          <w:fldChar w:fldCharType="separate"/>
        </w:r>
        <w:r w:rsidR="0024705C">
          <w:rPr>
            <w:noProof/>
          </w:rPr>
          <w:t>30</w:t>
        </w:r>
        <w:r w:rsidR="007A5871">
          <w:rPr>
            <w:rFonts w:hint="eastAsia"/>
          </w:rPr>
          <w:fldChar w:fldCharType="end"/>
        </w:r>
      </w:hyperlink>
    </w:p>
    <w:p w:rsidR="002F4F6D" w:rsidRDefault="006816B6">
      <w:pPr>
        <w:pStyle w:val="23"/>
      </w:pPr>
      <w:hyperlink w:anchor="_Toc124325897" w:history="1">
        <w:r w:rsidR="007A5871">
          <w:rPr>
            <w:rStyle w:val="af6"/>
            <w:rFonts w:asciiTheme="minorEastAsia" w:eastAsiaTheme="minorEastAsia" w:hAnsiTheme="minorEastAsia" w:hint="eastAsia"/>
            <w:color w:val="auto"/>
            <w:sz w:val="24"/>
            <w:szCs w:val="32"/>
            <w:u w:val="none"/>
          </w:rPr>
          <w:t>十三、基金有关文件档案的保存</w:t>
        </w:r>
        <w:r w:rsidR="007A5871">
          <w:rPr>
            <w:rFonts w:hint="eastAsia"/>
          </w:rPr>
          <w:tab/>
        </w:r>
        <w:r w:rsidR="007A5871">
          <w:rPr>
            <w:rFonts w:hint="eastAsia"/>
          </w:rPr>
          <w:fldChar w:fldCharType="begin"/>
        </w:r>
        <w:r w:rsidR="007A5871">
          <w:instrText xml:space="preserve"> PAGEREF _Toc124325897 \h </w:instrText>
        </w:r>
        <w:r w:rsidR="007A5871">
          <w:rPr>
            <w:rFonts w:hint="eastAsia"/>
          </w:rPr>
        </w:r>
        <w:r w:rsidR="007A5871">
          <w:rPr>
            <w:rFonts w:hint="eastAsia"/>
          </w:rPr>
          <w:fldChar w:fldCharType="separate"/>
        </w:r>
        <w:r w:rsidR="0024705C">
          <w:rPr>
            <w:noProof/>
          </w:rPr>
          <w:t>31</w:t>
        </w:r>
        <w:r w:rsidR="007A5871">
          <w:rPr>
            <w:rFonts w:hint="eastAsia"/>
          </w:rPr>
          <w:fldChar w:fldCharType="end"/>
        </w:r>
      </w:hyperlink>
    </w:p>
    <w:p w:rsidR="002F4F6D" w:rsidRDefault="006816B6">
      <w:pPr>
        <w:pStyle w:val="23"/>
      </w:pPr>
      <w:hyperlink w:anchor="_Toc124325898" w:history="1">
        <w:r w:rsidR="007A5871">
          <w:rPr>
            <w:rStyle w:val="af6"/>
            <w:rFonts w:asciiTheme="minorEastAsia" w:eastAsiaTheme="minorEastAsia" w:hAnsiTheme="minorEastAsia" w:hint="eastAsia"/>
            <w:color w:val="auto"/>
            <w:sz w:val="24"/>
            <w:szCs w:val="32"/>
            <w:u w:val="none"/>
          </w:rPr>
          <w:t>十四、基金管理人和基金托管人的更换</w:t>
        </w:r>
        <w:r w:rsidR="007A5871">
          <w:rPr>
            <w:rFonts w:hint="eastAsia"/>
          </w:rPr>
          <w:tab/>
        </w:r>
        <w:r w:rsidR="007A5871">
          <w:rPr>
            <w:rFonts w:hint="eastAsia"/>
          </w:rPr>
          <w:fldChar w:fldCharType="begin"/>
        </w:r>
        <w:r w:rsidR="007A5871">
          <w:instrText xml:space="preserve"> PAGEREF _Toc124325898 \h </w:instrText>
        </w:r>
        <w:r w:rsidR="007A5871">
          <w:rPr>
            <w:rFonts w:hint="eastAsia"/>
          </w:rPr>
        </w:r>
        <w:r w:rsidR="007A5871">
          <w:rPr>
            <w:rFonts w:hint="eastAsia"/>
          </w:rPr>
          <w:fldChar w:fldCharType="separate"/>
        </w:r>
        <w:r w:rsidR="0024705C">
          <w:rPr>
            <w:noProof/>
          </w:rPr>
          <w:t>31</w:t>
        </w:r>
        <w:r w:rsidR="007A5871">
          <w:rPr>
            <w:rFonts w:hint="eastAsia"/>
          </w:rPr>
          <w:fldChar w:fldCharType="end"/>
        </w:r>
      </w:hyperlink>
    </w:p>
    <w:p w:rsidR="002F4F6D" w:rsidRDefault="006816B6">
      <w:pPr>
        <w:pStyle w:val="23"/>
      </w:pPr>
      <w:hyperlink w:anchor="_Toc124325899" w:history="1">
        <w:r w:rsidR="007A5871">
          <w:rPr>
            <w:rStyle w:val="af6"/>
            <w:rFonts w:asciiTheme="minorEastAsia" w:eastAsiaTheme="minorEastAsia" w:hAnsiTheme="minorEastAsia" w:hint="eastAsia"/>
            <w:color w:val="auto"/>
            <w:sz w:val="24"/>
            <w:szCs w:val="32"/>
            <w:u w:val="none"/>
          </w:rPr>
          <w:t>十五、禁止行为</w:t>
        </w:r>
        <w:r w:rsidR="007A5871">
          <w:rPr>
            <w:rFonts w:hint="eastAsia"/>
          </w:rPr>
          <w:tab/>
        </w:r>
        <w:r w:rsidR="007A5871">
          <w:rPr>
            <w:rFonts w:hint="eastAsia"/>
          </w:rPr>
          <w:fldChar w:fldCharType="begin"/>
        </w:r>
        <w:r w:rsidR="007A5871">
          <w:instrText xml:space="preserve"> PAGEREF _Toc124325899 \h </w:instrText>
        </w:r>
        <w:r w:rsidR="007A5871">
          <w:rPr>
            <w:rFonts w:hint="eastAsia"/>
          </w:rPr>
        </w:r>
        <w:r w:rsidR="007A5871">
          <w:rPr>
            <w:rFonts w:hint="eastAsia"/>
          </w:rPr>
          <w:fldChar w:fldCharType="separate"/>
        </w:r>
        <w:r w:rsidR="0024705C">
          <w:rPr>
            <w:noProof/>
          </w:rPr>
          <w:t>33</w:t>
        </w:r>
        <w:r w:rsidR="007A5871">
          <w:rPr>
            <w:rFonts w:hint="eastAsia"/>
          </w:rPr>
          <w:fldChar w:fldCharType="end"/>
        </w:r>
      </w:hyperlink>
    </w:p>
    <w:p w:rsidR="002F4F6D" w:rsidRDefault="006816B6">
      <w:pPr>
        <w:pStyle w:val="23"/>
      </w:pPr>
      <w:hyperlink w:anchor="_Toc124325900" w:history="1">
        <w:r w:rsidR="007A5871">
          <w:rPr>
            <w:rStyle w:val="af6"/>
            <w:rFonts w:asciiTheme="minorEastAsia" w:eastAsiaTheme="minorEastAsia" w:hAnsiTheme="minorEastAsia" w:hint="eastAsia"/>
            <w:color w:val="auto"/>
            <w:sz w:val="24"/>
            <w:szCs w:val="32"/>
            <w:u w:val="none"/>
          </w:rPr>
          <w:t>十六、托管协议的变更、终止与基金财产的清算</w:t>
        </w:r>
        <w:r w:rsidR="007A5871">
          <w:rPr>
            <w:rFonts w:hint="eastAsia"/>
          </w:rPr>
          <w:tab/>
        </w:r>
        <w:r w:rsidR="007A5871">
          <w:rPr>
            <w:rFonts w:hint="eastAsia"/>
          </w:rPr>
          <w:fldChar w:fldCharType="begin"/>
        </w:r>
        <w:r w:rsidR="007A5871">
          <w:instrText xml:space="preserve"> PAGEREF _Toc124325900 \h </w:instrText>
        </w:r>
        <w:r w:rsidR="007A5871">
          <w:rPr>
            <w:rFonts w:hint="eastAsia"/>
          </w:rPr>
        </w:r>
        <w:r w:rsidR="007A5871">
          <w:rPr>
            <w:rFonts w:hint="eastAsia"/>
          </w:rPr>
          <w:fldChar w:fldCharType="separate"/>
        </w:r>
        <w:r w:rsidR="0024705C">
          <w:rPr>
            <w:noProof/>
          </w:rPr>
          <w:t>34</w:t>
        </w:r>
        <w:r w:rsidR="007A5871">
          <w:rPr>
            <w:rFonts w:hint="eastAsia"/>
          </w:rPr>
          <w:fldChar w:fldCharType="end"/>
        </w:r>
      </w:hyperlink>
    </w:p>
    <w:p w:rsidR="002F4F6D" w:rsidRDefault="006816B6">
      <w:pPr>
        <w:pStyle w:val="23"/>
      </w:pPr>
      <w:hyperlink w:anchor="_Toc124325901" w:history="1">
        <w:r w:rsidR="007A5871">
          <w:rPr>
            <w:rStyle w:val="af6"/>
            <w:rFonts w:asciiTheme="minorEastAsia" w:eastAsiaTheme="minorEastAsia" w:hAnsiTheme="minorEastAsia" w:hint="eastAsia"/>
            <w:color w:val="auto"/>
            <w:sz w:val="24"/>
            <w:szCs w:val="32"/>
            <w:u w:val="none"/>
          </w:rPr>
          <w:t>十七、违约责任</w:t>
        </w:r>
        <w:r w:rsidR="007A5871">
          <w:rPr>
            <w:rFonts w:hint="eastAsia"/>
          </w:rPr>
          <w:tab/>
        </w:r>
        <w:r w:rsidR="007A5871">
          <w:rPr>
            <w:rFonts w:hint="eastAsia"/>
          </w:rPr>
          <w:fldChar w:fldCharType="begin"/>
        </w:r>
        <w:r w:rsidR="007A5871">
          <w:instrText xml:space="preserve"> PAGEREF _Toc124325901 \h </w:instrText>
        </w:r>
        <w:r w:rsidR="007A5871">
          <w:rPr>
            <w:rFonts w:hint="eastAsia"/>
          </w:rPr>
        </w:r>
        <w:r w:rsidR="007A5871">
          <w:rPr>
            <w:rFonts w:hint="eastAsia"/>
          </w:rPr>
          <w:fldChar w:fldCharType="separate"/>
        </w:r>
        <w:r w:rsidR="0024705C">
          <w:rPr>
            <w:noProof/>
          </w:rPr>
          <w:t>36</w:t>
        </w:r>
        <w:r w:rsidR="007A5871">
          <w:rPr>
            <w:rFonts w:hint="eastAsia"/>
          </w:rPr>
          <w:fldChar w:fldCharType="end"/>
        </w:r>
      </w:hyperlink>
    </w:p>
    <w:p w:rsidR="002F4F6D" w:rsidRDefault="006816B6">
      <w:pPr>
        <w:pStyle w:val="23"/>
      </w:pPr>
      <w:hyperlink w:anchor="_Toc124325902" w:history="1">
        <w:r w:rsidR="007A5871">
          <w:rPr>
            <w:rStyle w:val="af6"/>
            <w:rFonts w:asciiTheme="minorEastAsia" w:eastAsiaTheme="minorEastAsia" w:hAnsiTheme="minorEastAsia" w:hint="eastAsia"/>
            <w:color w:val="auto"/>
            <w:sz w:val="24"/>
            <w:szCs w:val="32"/>
            <w:u w:val="none"/>
          </w:rPr>
          <w:t>十八、争议解决方式</w:t>
        </w:r>
        <w:r w:rsidR="007A5871">
          <w:rPr>
            <w:rFonts w:hint="eastAsia"/>
          </w:rPr>
          <w:tab/>
        </w:r>
        <w:r w:rsidR="007A5871">
          <w:rPr>
            <w:rFonts w:hint="eastAsia"/>
          </w:rPr>
          <w:fldChar w:fldCharType="begin"/>
        </w:r>
        <w:r w:rsidR="007A5871">
          <w:instrText xml:space="preserve"> PAGEREF _Toc124325902 \h </w:instrText>
        </w:r>
        <w:r w:rsidR="007A5871">
          <w:rPr>
            <w:rFonts w:hint="eastAsia"/>
          </w:rPr>
        </w:r>
        <w:r w:rsidR="007A5871">
          <w:rPr>
            <w:rFonts w:hint="eastAsia"/>
          </w:rPr>
          <w:fldChar w:fldCharType="separate"/>
        </w:r>
        <w:r w:rsidR="0024705C">
          <w:rPr>
            <w:noProof/>
          </w:rPr>
          <w:t>37</w:t>
        </w:r>
        <w:r w:rsidR="007A5871">
          <w:rPr>
            <w:rFonts w:hint="eastAsia"/>
          </w:rPr>
          <w:fldChar w:fldCharType="end"/>
        </w:r>
      </w:hyperlink>
    </w:p>
    <w:p w:rsidR="002F4F6D" w:rsidRDefault="006816B6">
      <w:pPr>
        <w:pStyle w:val="23"/>
      </w:pPr>
      <w:hyperlink w:anchor="_Toc124325903" w:history="1">
        <w:r w:rsidR="007A5871">
          <w:rPr>
            <w:rStyle w:val="af6"/>
            <w:rFonts w:asciiTheme="minorEastAsia" w:eastAsiaTheme="minorEastAsia" w:hAnsiTheme="minorEastAsia" w:hint="eastAsia"/>
            <w:color w:val="auto"/>
            <w:sz w:val="24"/>
            <w:szCs w:val="32"/>
            <w:u w:val="none"/>
          </w:rPr>
          <w:t>十九、托管协议的效力</w:t>
        </w:r>
        <w:r w:rsidR="007A5871">
          <w:rPr>
            <w:rFonts w:hint="eastAsia"/>
          </w:rPr>
          <w:tab/>
        </w:r>
        <w:r w:rsidR="007A5871">
          <w:rPr>
            <w:rFonts w:hint="eastAsia"/>
          </w:rPr>
          <w:fldChar w:fldCharType="begin"/>
        </w:r>
        <w:r w:rsidR="007A5871">
          <w:instrText xml:space="preserve"> PAGEREF _Toc124325903 \h </w:instrText>
        </w:r>
        <w:r w:rsidR="007A5871">
          <w:rPr>
            <w:rFonts w:hint="eastAsia"/>
          </w:rPr>
        </w:r>
        <w:r w:rsidR="007A5871">
          <w:rPr>
            <w:rFonts w:hint="eastAsia"/>
          </w:rPr>
          <w:fldChar w:fldCharType="separate"/>
        </w:r>
        <w:r w:rsidR="0024705C">
          <w:rPr>
            <w:noProof/>
          </w:rPr>
          <w:t>37</w:t>
        </w:r>
        <w:r w:rsidR="007A5871">
          <w:rPr>
            <w:rFonts w:hint="eastAsia"/>
          </w:rPr>
          <w:fldChar w:fldCharType="end"/>
        </w:r>
      </w:hyperlink>
    </w:p>
    <w:p w:rsidR="002F4F6D" w:rsidRDefault="006816B6">
      <w:pPr>
        <w:pStyle w:val="23"/>
      </w:pPr>
      <w:hyperlink w:anchor="_Toc124325904" w:history="1">
        <w:r w:rsidR="007A5871">
          <w:rPr>
            <w:rStyle w:val="af6"/>
            <w:rFonts w:asciiTheme="minorEastAsia" w:eastAsiaTheme="minorEastAsia" w:hAnsiTheme="minorEastAsia" w:hint="eastAsia"/>
            <w:color w:val="auto"/>
            <w:sz w:val="24"/>
            <w:szCs w:val="32"/>
            <w:u w:val="none"/>
          </w:rPr>
          <w:t>二十、其他事项</w:t>
        </w:r>
        <w:r w:rsidR="007A5871">
          <w:rPr>
            <w:rFonts w:hint="eastAsia"/>
          </w:rPr>
          <w:tab/>
        </w:r>
        <w:r w:rsidR="007A5871">
          <w:rPr>
            <w:rFonts w:hint="eastAsia"/>
          </w:rPr>
          <w:fldChar w:fldCharType="begin"/>
        </w:r>
        <w:r w:rsidR="007A5871">
          <w:instrText xml:space="preserve"> PAGEREF _Toc124325904 \h </w:instrText>
        </w:r>
        <w:r w:rsidR="007A5871">
          <w:rPr>
            <w:rFonts w:hint="eastAsia"/>
          </w:rPr>
        </w:r>
        <w:r w:rsidR="007A5871">
          <w:rPr>
            <w:rFonts w:hint="eastAsia"/>
          </w:rPr>
          <w:fldChar w:fldCharType="separate"/>
        </w:r>
        <w:r w:rsidR="0024705C">
          <w:rPr>
            <w:noProof/>
          </w:rPr>
          <w:t>38</w:t>
        </w:r>
        <w:r w:rsidR="007A5871">
          <w:rPr>
            <w:rFonts w:hint="eastAsia"/>
          </w:rPr>
          <w:fldChar w:fldCharType="end"/>
        </w:r>
      </w:hyperlink>
    </w:p>
    <w:p w:rsidR="002F4F6D" w:rsidRDefault="006816B6">
      <w:pPr>
        <w:pStyle w:val="23"/>
        <w:rPr>
          <w:sz w:val="28"/>
        </w:rPr>
      </w:pPr>
      <w:hyperlink w:anchor="_Toc124325905" w:history="1">
        <w:r w:rsidR="007A5871">
          <w:rPr>
            <w:rStyle w:val="af6"/>
            <w:rFonts w:asciiTheme="minorEastAsia" w:eastAsiaTheme="minorEastAsia" w:hAnsiTheme="minorEastAsia" w:hint="eastAsia"/>
            <w:color w:val="auto"/>
            <w:sz w:val="24"/>
            <w:szCs w:val="32"/>
            <w:u w:val="none"/>
          </w:rPr>
          <w:t>二十一、托管协议的签订</w:t>
        </w:r>
        <w:r w:rsidR="007A5871">
          <w:rPr>
            <w:rFonts w:hint="eastAsia"/>
          </w:rPr>
          <w:tab/>
        </w:r>
        <w:r w:rsidR="007A5871">
          <w:rPr>
            <w:rFonts w:hint="eastAsia"/>
          </w:rPr>
          <w:fldChar w:fldCharType="begin"/>
        </w:r>
        <w:r w:rsidR="007A5871">
          <w:instrText xml:space="preserve"> PAGEREF _Toc124325905 \h </w:instrText>
        </w:r>
        <w:r w:rsidR="007A5871">
          <w:rPr>
            <w:rFonts w:hint="eastAsia"/>
          </w:rPr>
        </w:r>
        <w:r w:rsidR="007A5871">
          <w:rPr>
            <w:rFonts w:hint="eastAsia"/>
          </w:rPr>
          <w:fldChar w:fldCharType="separate"/>
        </w:r>
        <w:r w:rsidR="0024705C">
          <w:rPr>
            <w:noProof/>
          </w:rPr>
          <w:t>38</w:t>
        </w:r>
        <w:r w:rsidR="007A5871">
          <w:rPr>
            <w:rFonts w:hint="eastAsia"/>
          </w:rPr>
          <w:fldChar w:fldCharType="end"/>
        </w:r>
      </w:hyperlink>
    </w:p>
    <w:p w:rsidR="002F4F6D" w:rsidRDefault="007A5871">
      <w:pPr>
        <w:widowControl/>
        <w:spacing w:line="276" w:lineRule="auto"/>
        <w:jc w:val="left"/>
        <w:rPr>
          <w:rFonts w:asciiTheme="minorEastAsia" w:hAnsiTheme="minorEastAsia"/>
          <w:sz w:val="28"/>
        </w:rPr>
      </w:pPr>
      <w:r>
        <w:rPr>
          <w:rFonts w:asciiTheme="minorEastAsia" w:hAnsiTheme="minorEastAsia" w:hint="eastAsia"/>
          <w:sz w:val="28"/>
        </w:rPr>
        <w:fldChar w:fldCharType="end"/>
      </w:r>
    </w:p>
    <w:p w:rsidR="002F4F6D" w:rsidRDefault="007A5871">
      <w:pPr>
        <w:widowControl/>
        <w:jc w:val="left"/>
        <w:rPr>
          <w:rFonts w:asciiTheme="minorEastAsia" w:hAnsiTheme="minorEastAsia"/>
          <w:sz w:val="28"/>
        </w:rPr>
      </w:pPr>
      <w:r>
        <w:rPr>
          <w:rFonts w:asciiTheme="minorEastAsia" w:hAnsiTheme="minorEastAsia"/>
          <w:sz w:val="28"/>
        </w:rPr>
        <w:br w:type="page"/>
      </w:r>
    </w:p>
    <w:p w:rsidR="002F4F6D" w:rsidRDefault="007A5871">
      <w:pPr>
        <w:widowControl/>
        <w:spacing w:line="360" w:lineRule="auto"/>
        <w:ind w:firstLineChars="200" w:firstLine="480"/>
        <w:rPr>
          <w:rFonts w:asciiTheme="minorEastAsia" w:hAnsiTheme="minorEastAsia" w:cs="Arial"/>
          <w:kern w:val="0"/>
          <w:sz w:val="28"/>
        </w:rPr>
      </w:pPr>
      <w:r>
        <w:rPr>
          <w:rFonts w:asciiTheme="minorEastAsia" w:hAnsiTheme="minorEastAsia" w:cs="Arial" w:hint="eastAsia"/>
          <w:kern w:val="0"/>
          <w:sz w:val="24"/>
        </w:rPr>
        <w:lastRenderedPageBreak/>
        <w:t>鉴于</w:t>
      </w:r>
      <w:r>
        <w:rPr>
          <w:rFonts w:asciiTheme="minorEastAsia" w:hAnsiTheme="minorEastAsia" w:cs="Arial" w:hint="eastAsia"/>
          <w:sz w:val="24"/>
        </w:rPr>
        <w:t>广发基金管理有限公司</w:t>
      </w:r>
      <w:r>
        <w:rPr>
          <w:rFonts w:asciiTheme="minorEastAsia" w:hAnsiTheme="minorEastAsia" w:cs="Arial" w:hint="eastAsia"/>
          <w:kern w:val="0"/>
          <w:sz w:val="24"/>
        </w:rPr>
        <w:t>系一家依照中国法律合法成立并有效存续的有限责任公司，按照相关法律法规的规定具备担任基金管理人的资格和能力，拟募集发行</w:t>
      </w:r>
      <w:r>
        <w:rPr>
          <w:rFonts w:asciiTheme="minorEastAsia" w:hAnsiTheme="minorEastAsia" w:cs="Arial" w:hint="eastAsia"/>
          <w:sz w:val="24"/>
        </w:rPr>
        <w:t>广</w:t>
      </w:r>
      <w:proofErr w:type="gramStart"/>
      <w:r>
        <w:rPr>
          <w:rFonts w:asciiTheme="minorEastAsia" w:hAnsiTheme="minorEastAsia" w:cs="Arial" w:hint="eastAsia"/>
          <w:sz w:val="24"/>
        </w:rPr>
        <w:t>发</w:t>
      </w:r>
      <w:r w:rsidR="00FB41DB">
        <w:rPr>
          <w:rFonts w:asciiTheme="minorEastAsia" w:hAnsiTheme="minorEastAsia" w:cs="Arial" w:hint="eastAsia"/>
          <w:sz w:val="24"/>
        </w:rPr>
        <w:t>成长</w:t>
      </w:r>
      <w:proofErr w:type="gramEnd"/>
      <w:r w:rsidR="00FB41DB">
        <w:rPr>
          <w:rFonts w:asciiTheme="minorEastAsia" w:hAnsiTheme="minorEastAsia" w:cs="Arial" w:hint="eastAsia"/>
          <w:sz w:val="24"/>
        </w:rPr>
        <w:t>领航</w:t>
      </w:r>
      <w:r>
        <w:rPr>
          <w:rFonts w:asciiTheme="minorEastAsia" w:hAnsiTheme="minorEastAsia" w:cs="Arial" w:hint="eastAsia"/>
          <w:sz w:val="24"/>
        </w:rPr>
        <w:t>一年持有期混合型证券投资基金</w:t>
      </w:r>
      <w:r>
        <w:rPr>
          <w:rFonts w:asciiTheme="minorEastAsia" w:hAnsiTheme="minorEastAsia" w:cs="Arial" w:hint="eastAsia"/>
          <w:kern w:val="0"/>
          <w:sz w:val="24"/>
        </w:rPr>
        <w:t>；</w:t>
      </w:r>
    </w:p>
    <w:p w:rsidR="002F4F6D" w:rsidRDefault="007A5871">
      <w:pPr>
        <w:widowControl/>
        <w:adjustRightInd w:val="0"/>
        <w:snapToGrid w:val="0"/>
        <w:spacing w:line="360" w:lineRule="auto"/>
        <w:ind w:firstLineChars="200" w:firstLine="480"/>
        <w:rPr>
          <w:rFonts w:asciiTheme="minorEastAsia" w:hAnsiTheme="minorEastAsia" w:cs="Arial"/>
          <w:kern w:val="0"/>
          <w:sz w:val="24"/>
        </w:rPr>
      </w:pPr>
      <w:r>
        <w:rPr>
          <w:rFonts w:asciiTheme="minorEastAsia" w:hAnsiTheme="minorEastAsia" w:cs="Arial" w:hint="eastAsia"/>
          <w:kern w:val="0"/>
          <w:sz w:val="24"/>
        </w:rPr>
        <w:t>鉴于中国建设银行股份有限公司系一家依照中国法律合法成立并有效存续的银行，按照相关法律法规的规定具备担任基金托管人的资格和能力；</w:t>
      </w:r>
    </w:p>
    <w:p w:rsidR="002F4F6D" w:rsidRDefault="007A5871">
      <w:pPr>
        <w:widowControl/>
        <w:adjustRightInd w:val="0"/>
        <w:snapToGrid w:val="0"/>
        <w:spacing w:line="360" w:lineRule="auto"/>
        <w:ind w:firstLineChars="200" w:firstLine="480"/>
        <w:rPr>
          <w:rFonts w:asciiTheme="minorEastAsia" w:hAnsiTheme="minorEastAsia" w:cs="Arial"/>
          <w:kern w:val="0"/>
          <w:sz w:val="24"/>
        </w:rPr>
      </w:pPr>
      <w:r>
        <w:rPr>
          <w:rFonts w:asciiTheme="minorEastAsia" w:hAnsiTheme="minorEastAsia" w:cs="Arial" w:hint="eastAsia"/>
          <w:kern w:val="0"/>
          <w:sz w:val="24"/>
        </w:rPr>
        <w:t>鉴于</w:t>
      </w:r>
      <w:r>
        <w:rPr>
          <w:rFonts w:asciiTheme="minorEastAsia" w:hAnsiTheme="minorEastAsia" w:cs="Arial" w:hint="eastAsia"/>
          <w:sz w:val="24"/>
        </w:rPr>
        <w:t>广发基金管理有限公司</w:t>
      </w:r>
      <w:r>
        <w:rPr>
          <w:rFonts w:asciiTheme="minorEastAsia" w:hAnsiTheme="minorEastAsia" w:cs="Arial" w:hint="eastAsia"/>
          <w:kern w:val="0"/>
          <w:sz w:val="24"/>
        </w:rPr>
        <w:t>拟担任</w:t>
      </w:r>
      <w:r>
        <w:rPr>
          <w:rFonts w:asciiTheme="minorEastAsia" w:hAnsiTheme="minorEastAsia" w:cs="Arial" w:hint="eastAsia"/>
          <w:sz w:val="24"/>
        </w:rPr>
        <w:t>广</w:t>
      </w:r>
      <w:proofErr w:type="gramStart"/>
      <w:r>
        <w:rPr>
          <w:rFonts w:asciiTheme="minorEastAsia" w:hAnsiTheme="minorEastAsia" w:cs="Arial" w:hint="eastAsia"/>
          <w:sz w:val="24"/>
        </w:rPr>
        <w:t>发</w:t>
      </w:r>
      <w:r w:rsidR="00FB41DB">
        <w:rPr>
          <w:rFonts w:asciiTheme="minorEastAsia" w:hAnsiTheme="minorEastAsia" w:cs="Arial" w:hint="eastAsia"/>
          <w:sz w:val="24"/>
        </w:rPr>
        <w:t>成长</w:t>
      </w:r>
      <w:proofErr w:type="gramEnd"/>
      <w:r w:rsidR="00FB41DB">
        <w:rPr>
          <w:rFonts w:asciiTheme="minorEastAsia" w:hAnsiTheme="minorEastAsia" w:cs="Arial" w:hint="eastAsia"/>
          <w:sz w:val="24"/>
        </w:rPr>
        <w:t>领航</w:t>
      </w:r>
      <w:r>
        <w:rPr>
          <w:rFonts w:asciiTheme="minorEastAsia" w:hAnsiTheme="minorEastAsia" w:cs="Arial" w:hint="eastAsia"/>
          <w:sz w:val="24"/>
        </w:rPr>
        <w:t>一年持有期混合型证券投资基金</w:t>
      </w:r>
      <w:r>
        <w:rPr>
          <w:rFonts w:asciiTheme="minorEastAsia" w:hAnsiTheme="minorEastAsia" w:cs="Arial" w:hint="eastAsia"/>
          <w:kern w:val="0"/>
          <w:sz w:val="24"/>
        </w:rPr>
        <w:t>的基金管理人，中国建设银行股份有限公司拟担任</w:t>
      </w:r>
      <w:r>
        <w:rPr>
          <w:rFonts w:asciiTheme="minorEastAsia" w:hAnsiTheme="minorEastAsia" w:cs="Arial" w:hint="eastAsia"/>
          <w:sz w:val="24"/>
        </w:rPr>
        <w:t>广</w:t>
      </w:r>
      <w:proofErr w:type="gramStart"/>
      <w:r>
        <w:rPr>
          <w:rFonts w:asciiTheme="minorEastAsia" w:hAnsiTheme="minorEastAsia" w:cs="Arial" w:hint="eastAsia"/>
          <w:sz w:val="24"/>
        </w:rPr>
        <w:t>发</w:t>
      </w:r>
      <w:r w:rsidR="00FB41DB">
        <w:rPr>
          <w:rFonts w:asciiTheme="minorEastAsia" w:hAnsiTheme="minorEastAsia" w:cs="Arial" w:hint="eastAsia"/>
          <w:sz w:val="24"/>
        </w:rPr>
        <w:t>成长</w:t>
      </w:r>
      <w:proofErr w:type="gramEnd"/>
      <w:r w:rsidR="00FB41DB">
        <w:rPr>
          <w:rFonts w:asciiTheme="minorEastAsia" w:hAnsiTheme="minorEastAsia" w:cs="Arial" w:hint="eastAsia"/>
          <w:sz w:val="24"/>
        </w:rPr>
        <w:t>领航</w:t>
      </w:r>
      <w:r>
        <w:rPr>
          <w:rFonts w:asciiTheme="minorEastAsia" w:hAnsiTheme="minorEastAsia" w:cs="Arial" w:hint="eastAsia"/>
          <w:sz w:val="24"/>
        </w:rPr>
        <w:t>一年持有期混合型证券投资基金</w:t>
      </w:r>
      <w:r>
        <w:rPr>
          <w:rFonts w:asciiTheme="minorEastAsia" w:hAnsiTheme="minorEastAsia" w:cs="Arial" w:hint="eastAsia"/>
          <w:kern w:val="0"/>
          <w:sz w:val="24"/>
        </w:rPr>
        <w:t>的基金托管人；</w:t>
      </w:r>
    </w:p>
    <w:p w:rsidR="002F4F6D" w:rsidRDefault="007A5871">
      <w:pPr>
        <w:widowControl/>
        <w:adjustRightInd w:val="0"/>
        <w:snapToGrid w:val="0"/>
        <w:spacing w:line="360" w:lineRule="auto"/>
        <w:ind w:firstLineChars="200" w:firstLine="480"/>
        <w:rPr>
          <w:rFonts w:asciiTheme="minorEastAsia" w:hAnsiTheme="minorEastAsia" w:cs="Arial"/>
          <w:kern w:val="0"/>
          <w:sz w:val="24"/>
        </w:rPr>
      </w:pPr>
      <w:r>
        <w:rPr>
          <w:rFonts w:asciiTheme="minorEastAsia" w:hAnsiTheme="minorEastAsia" w:cs="Arial" w:hint="eastAsia"/>
          <w:kern w:val="0"/>
          <w:sz w:val="24"/>
        </w:rPr>
        <w:t>为</w:t>
      </w:r>
      <w:proofErr w:type="gramStart"/>
      <w:r>
        <w:rPr>
          <w:rFonts w:asciiTheme="minorEastAsia" w:hAnsiTheme="minorEastAsia" w:cs="Arial" w:hint="eastAsia"/>
          <w:kern w:val="0"/>
          <w:sz w:val="24"/>
        </w:rPr>
        <w:t>明确</w:t>
      </w:r>
      <w:r>
        <w:rPr>
          <w:rFonts w:asciiTheme="minorEastAsia" w:hAnsiTheme="minorEastAsia" w:cs="Arial" w:hint="eastAsia"/>
          <w:sz w:val="24"/>
        </w:rPr>
        <w:t>广发</w:t>
      </w:r>
      <w:r w:rsidR="00FB41DB">
        <w:rPr>
          <w:rFonts w:asciiTheme="minorEastAsia" w:hAnsiTheme="minorEastAsia" w:cs="Arial" w:hint="eastAsia"/>
          <w:sz w:val="24"/>
        </w:rPr>
        <w:t>成长</w:t>
      </w:r>
      <w:proofErr w:type="gramEnd"/>
      <w:r w:rsidR="00FB41DB">
        <w:rPr>
          <w:rFonts w:asciiTheme="minorEastAsia" w:hAnsiTheme="minorEastAsia" w:cs="Arial" w:hint="eastAsia"/>
          <w:sz w:val="24"/>
        </w:rPr>
        <w:t>领航</w:t>
      </w:r>
      <w:r>
        <w:rPr>
          <w:rFonts w:asciiTheme="minorEastAsia" w:hAnsiTheme="minorEastAsia" w:cs="Arial" w:hint="eastAsia"/>
          <w:sz w:val="24"/>
        </w:rPr>
        <w:t>一年持有期混合型证券投资基金</w:t>
      </w:r>
      <w:r>
        <w:rPr>
          <w:rFonts w:asciiTheme="minorEastAsia" w:hAnsiTheme="minorEastAsia" w:cs="Arial" w:hint="eastAsia"/>
          <w:kern w:val="0"/>
          <w:sz w:val="24"/>
        </w:rPr>
        <w:t>的基金管理人和基金托管人之间的权利义务关系，特制订本托管协议；</w:t>
      </w:r>
    </w:p>
    <w:p w:rsidR="002F4F6D" w:rsidRDefault="007A5871">
      <w:pPr>
        <w:widowControl/>
        <w:adjustRightInd w:val="0"/>
        <w:snapToGrid w:val="0"/>
        <w:spacing w:line="360" w:lineRule="auto"/>
        <w:ind w:firstLineChars="200" w:firstLine="480"/>
        <w:rPr>
          <w:rFonts w:asciiTheme="minorEastAsia" w:hAnsiTheme="minorEastAsia" w:cs="Arial"/>
          <w:kern w:val="0"/>
          <w:sz w:val="24"/>
          <w:lang w:val="en-GB"/>
        </w:rPr>
      </w:pPr>
      <w:r>
        <w:rPr>
          <w:rFonts w:asciiTheme="minorEastAsia" w:hAnsiTheme="minorEastAsia" w:cs="Arial" w:hint="eastAsia"/>
          <w:kern w:val="0"/>
          <w:sz w:val="24"/>
          <w:lang w:val="en-GB"/>
        </w:rPr>
        <w:t>除非另有约定，《</w:t>
      </w:r>
      <w:r>
        <w:rPr>
          <w:rFonts w:asciiTheme="minorEastAsia" w:hAnsiTheme="minorEastAsia" w:cs="Arial" w:hint="eastAsia"/>
          <w:sz w:val="24"/>
        </w:rPr>
        <w:t>广发</w:t>
      </w:r>
      <w:r w:rsidR="00FB41DB">
        <w:rPr>
          <w:rFonts w:asciiTheme="minorEastAsia" w:hAnsiTheme="minorEastAsia" w:cs="Arial" w:hint="eastAsia"/>
          <w:sz w:val="24"/>
        </w:rPr>
        <w:t>成长领航</w:t>
      </w:r>
      <w:r>
        <w:rPr>
          <w:rFonts w:asciiTheme="minorEastAsia" w:hAnsiTheme="minorEastAsia" w:cs="Arial" w:hint="eastAsia"/>
          <w:sz w:val="24"/>
        </w:rPr>
        <w:t>一年持有期混合型证券投资基金</w:t>
      </w:r>
      <w:r>
        <w:rPr>
          <w:rFonts w:asciiTheme="minorEastAsia" w:hAnsiTheme="minorEastAsia" w:cs="Arial" w:hint="eastAsia"/>
          <w:kern w:val="0"/>
          <w:sz w:val="24"/>
          <w:lang w:val="en-GB"/>
        </w:rPr>
        <w:t>基金合同》(以下简称“基金合同”</w:t>
      </w:r>
      <w:r>
        <w:rPr>
          <w:rFonts w:asciiTheme="minorEastAsia" w:hAnsiTheme="minorEastAsia" w:cs="Arial"/>
          <w:kern w:val="0"/>
          <w:sz w:val="24"/>
          <w:lang w:val="en-GB"/>
        </w:rPr>
        <w:t>)中定义的术语在用于本托管协议时应具有相同的含义；若有抵触应以《基金合同》为准，并依其</w:t>
      </w:r>
      <w:r>
        <w:rPr>
          <w:rFonts w:asciiTheme="minorEastAsia" w:hAnsiTheme="minorEastAsia" w:cs="Arial" w:hint="eastAsia"/>
          <w:kern w:val="0"/>
          <w:sz w:val="24"/>
        </w:rPr>
        <w:t>条款</w:t>
      </w:r>
      <w:r>
        <w:rPr>
          <w:rFonts w:asciiTheme="minorEastAsia" w:hAnsiTheme="minorEastAsia" w:cs="Arial" w:hint="eastAsia"/>
          <w:kern w:val="0"/>
          <w:sz w:val="24"/>
          <w:lang w:val="en-GB"/>
        </w:rPr>
        <w:t>解释。</w:t>
      </w:r>
    </w:p>
    <w:p w:rsidR="002F4F6D" w:rsidRDefault="002F4F6D">
      <w:pPr>
        <w:spacing w:line="360" w:lineRule="auto"/>
        <w:rPr>
          <w:rFonts w:asciiTheme="minorEastAsia" w:hAnsiTheme="minorEastAsia"/>
          <w:sz w:val="24"/>
          <w:lang w:val="en-GB"/>
        </w:rPr>
      </w:pPr>
    </w:p>
    <w:p w:rsidR="002F4F6D" w:rsidRDefault="007A5871">
      <w:pPr>
        <w:pStyle w:val="2"/>
        <w:spacing w:line="360" w:lineRule="auto"/>
        <w:jc w:val="center"/>
        <w:rPr>
          <w:rFonts w:asciiTheme="minorEastAsia" w:eastAsiaTheme="minorEastAsia" w:hAnsiTheme="minorEastAsia"/>
        </w:rPr>
      </w:pPr>
      <w:bookmarkStart w:id="1" w:name="_Toc124325885"/>
      <w:r>
        <w:rPr>
          <w:rFonts w:asciiTheme="minorEastAsia" w:eastAsiaTheme="minorEastAsia" w:hAnsiTheme="minorEastAsia" w:hint="eastAsia"/>
        </w:rPr>
        <w:t>一、基金托管协议当事人</w:t>
      </w:r>
      <w:bookmarkEnd w:id="1"/>
    </w:p>
    <w:p w:rsidR="002F4F6D" w:rsidRDefault="007A5871">
      <w:pPr>
        <w:adjustRightInd w:val="0"/>
        <w:snapToGrid w:val="0"/>
        <w:spacing w:line="360" w:lineRule="auto"/>
        <w:ind w:firstLineChars="200" w:firstLine="480"/>
        <w:outlineLvl w:val="0"/>
        <w:rPr>
          <w:rFonts w:asciiTheme="minorEastAsia" w:hAnsiTheme="minorEastAsia" w:cs="Arial"/>
          <w:sz w:val="24"/>
        </w:rPr>
      </w:pPr>
      <w:r>
        <w:rPr>
          <w:rFonts w:asciiTheme="minorEastAsia" w:hAnsiTheme="minorEastAsia" w:cs="Arial" w:hint="eastAsia"/>
          <w:sz w:val="24"/>
        </w:rPr>
        <w:t>（一）基金管理人</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名称：广发基金管理有限公司</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注册地址：广东省珠海市横琴新区环岛东路3018号2608室</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办公地址：广州市海珠区</w:t>
      </w:r>
      <w:proofErr w:type="gramStart"/>
      <w:r>
        <w:rPr>
          <w:rFonts w:asciiTheme="minorEastAsia" w:hAnsiTheme="minorEastAsia" w:cs="Arial" w:hint="eastAsia"/>
          <w:sz w:val="24"/>
        </w:rPr>
        <w:t>琶</w:t>
      </w:r>
      <w:proofErr w:type="gramEnd"/>
      <w:r>
        <w:rPr>
          <w:rFonts w:asciiTheme="minorEastAsia" w:hAnsiTheme="minorEastAsia" w:cs="Arial" w:hint="eastAsia"/>
          <w:sz w:val="24"/>
        </w:rPr>
        <w:t>洲大道东1号保利国际广场南塔31－33楼</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邮政编码：</w:t>
      </w:r>
      <w:r>
        <w:rPr>
          <w:rFonts w:asciiTheme="minorEastAsia" w:hAnsiTheme="minorEastAsia" w:cs="Arial"/>
          <w:sz w:val="24"/>
          <w:szCs w:val="24"/>
        </w:rPr>
        <w:t>510308</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法定代表人：孙树明</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成立日期：2003年8月5日</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批准设立机关及批准设立文号：中国证监会证</w:t>
      </w:r>
      <w:proofErr w:type="gramStart"/>
      <w:r>
        <w:rPr>
          <w:rFonts w:asciiTheme="minorEastAsia" w:hAnsiTheme="minorEastAsia" w:cs="Arial" w:hint="eastAsia"/>
          <w:sz w:val="24"/>
        </w:rPr>
        <w:t>监基金字</w:t>
      </w:r>
      <w:proofErr w:type="gramEnd"/>
      <w:r>
        <w:rPr>
          <w:rFonts w:asciiTheme="minorEastAsia" w:hAnsiTheme="minorEastAsia" w:hint="eastAsia"/>
        </w:rPr>
        <w:t>[</w:t>
      </w:r>
      <w:r>
        <w:rPr>
          <w:rFonts w:asciiTheme="minorEastAsia" w:hAnsiTheme="minorEastAsia" w:cs="Arial" w:hint="eastAsia"/>
          <w:sz w:val="24"/>
        </w:rPr>
        <w:t>2003]91号</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组织形式：有限责任公司</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注册资本：14,097.8万元人民币</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存续期间：持续经营</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经营范围：基金募集、基金销售、资产管理和中国证监会许可的其他业务</w:t>
      </w:r>
    </w:p>
    <w:p w:rsidR="002F4F6D" w:rsidRDefault="007A5871">
      <w:pPr>
        <w:adjustRightInd w:val="0"/>
        <w:snapToGrid w:val="0"/>
        <w:spacing w:line="360" w:lineRule="auto"/>
        <w:ind w:firstLineChars="200" w:firstLine="480"/>
        <w:outlineLvl w:val="0"/>
        <w:rPr>
          <w:rFonts w:asciiTheme="minorEastAsia" w:hAnsiTheme="minorEastAsia" w:cs="Arial"/>
          <w:sz w:val="24"/>
        </w:rPr>
      </w:pPr>
      <w:r>
        <w:rPr>
          <w:rFonts w:asciiTheme="minorEastAsia" w:hAnsiTheme="minorEastAsia" w:cs="Arial" w:hint="eastAsia"/>
          <w:sz w:val="24"/>
        </w:rPr>
        <w:t>（二）基金托管人</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lastRenderedPageBreak/>
        <w:t>名称：中国建设银行股份有限公司(简称：中国建设银行)</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住所：北京市西城区金融大街25号</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办公地址：北京市西城区闹市口大街1号院1号楼</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邮政编码：100033</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法定代表人：田国立</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成立日期：2004年09月17日</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基金托管业务批准文号：中国证监会</w:t>
      </w:r>
      <w:proofErr w:type="gramStart"/>
      <w:r>
        <w:rPr>
          <w:rFonts w:asciiTheme="minorEastAsia" w:hAnsiTheme="minorEastAsia" w:cs="Arial" w:hint="eastAsia"/>
          <w:sz w:val="24"/>
        </w:rPr>
        <w:t>证监基字</w:t>
      </w:r>
      <w:proofErr w:type="gramEnd"/>
      <w:r>
        <w:rPr>
          <w:rFonts w:asciiTheme="minorEastAsia" w:hAnsiTheme="minorEastAsia" w:cs="Arial" w:hint="eastAsia"/>
          <w:sz w:val="24"/>
        </w:rPr>
        <w:t>[1998</w:t>
      </w:r>
      <w:bookmarkStart w:id="2" w:name="OLE_LINK3"/>
      <w:r>
        <w:rPr>
          <w:rFonts w:asciiTheme="minorEastAsia" w:hAnsiTheme="minorEastAsia" w:cs="Arial" w:hint="eastAsia"/>
          <w:sz w:val="24"/>
        </w:rPr>
        <w:t>]</w:t>
      </w:r>
      <w:bookmarkEnd w:id="2"/>
      <w:r>
        <w:rPr>
          <w:rFonts w:asciiTheme="minorEastAsia" w:hAnsiTheme="minorEastAsia" w:cs="Arial" w:hint="eastAsia"/>
          <w:sz w:val="24"/>
        </w:rPr>
        <w:t>12号</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组织形式：股份有限公司</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注册资本：</w:t>
      </w:r>
      <w:proofErr w:type="gramStart"/>
      <w:r>
        <w:rPr>
          <w:rFonts w:asciiTheme="minorEastAsia" w:hAnsiTheme="minorEastAsia" w:hint="eastAsia"/>
          <w:sz w:val="24"/>
        </w:rPr>
        <w:t>贰仟伍佰亿壹仟零玖拾柒万柒仟肆佰捌拾陆</w:t>
      </w:r>
      <w:proofErr w:type="gramEnd"/>
      <w:r>
        <w:rPr>
          <w:rFonts w:asciiTheme="minorEastAsia" w:hAnsiTheme="minorEastAsia" w:hint="eastAsia"/>
          <w:sz w:val="24"/>
        </w:rPr>
        <w:t>元整</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存续期间：持续经营</w:t>
      </w:r>
    </w:p>
    <w:p w:rsidR="002F4F6D" w:rsidRDefault="007A5871">
      <w:pPr>
        <w:tabs>
          <w:tab w:val="left" w:pos="540"/>
        </w:tabs>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2F4F6D" w:rsidRDefault="002F4F6D">
      <w:pPr>
        <w:spacing w:line="360" w:lineRule="auto"/>
        <w:rPr>
          <w:rFonts w:asciiTheme="minorEastAsia" w:hAnsiTheme="minorEastAsia"/>
          <w:sz w:val="24"/>
        </w:rPr>
      </w:pPr>
    </w:p>
    <w:p w:rsidR="002F4F6D" w:rsidRDefault="007A5871">
      <w:pPr>
        <w:pStyle w:val="2"/>
        <w:spacing w:line="360" w:lineRule="auto"/>
        <w:jc w:val="center"/>
        <w:rPr>
          <w:rFonts w:asciiTheme="minorEastAsia" w:eastAsiaTheme="minorEastAsia" w:hAnsiTheme="minorEastAsia"/>
          <w:sz w:val="30"/>
        </w:rPr>
      </w:pPr>
      <w:bookmarkStart w:id="3" w:name="_Toc124325886"/>
      <w:r>
        <w:rPr>
          <w:rFonts w:asciiTheme="minorEastAsia" w:eastAsiaTheme="minorEastAsia" w:hAnsiTheme="minorEastAsia" w:hint="eastAsia"/>
          <w:sz w:val="30"/>
        </w:rPr>
        <w:t>二、基金托管协议的依据、目的和原则</w:t>
      </w:r>
      <w:bookmarkEnd w:id="3"/>
    </w:p>
    <w:p w:rsidR="002F4F6D" w:rsidRDefault="007A5871">
      <w:pPr>
        <w:adjustRightInd w:val="0"/>
        <w:snapToGrid w:val="0"/>
        <w:spacing w:line="360" w:lineRule="auto"/>
        <w:ind w:firstLineChars="200" w:firstLine="480"/>
        <w:rPr>
          <w:rFonts w:asciiTheme="minorEastAsia" w:hAnsiTheme="minorEastAsia"/>
          <w:sz w:val="24"/>
          <w:szCs w:val="30"/>
        </w:rPr>
      </w:pPr>
      <w:r>
        <w:rPr>
          <w:rFonts w:asciiTheme="minorEastAsia" w:hAnsiTheme="minorEastAsia" w:cs="Arial" w:hint="eastAsia"/>
          <w:sz w:val="24"/>
        </w:rPr>
        <w:t>（一）订立托管协议的依据</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本协议依据《中华人民共和国证券投资基金法》(以下简称“《基金法》”)等有关法律法规、《基金合同》及其他有关规定制订。</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（二）订立托管协议的目的</w:t>
      </w:r>
    </w:p>
    <w:p w:rsidR="002F4F6D" w:rsidRDefault="007A5871">
      <w:pPr>
        <w:adjustRightInd w:val="0"/>
        <w:snapToGrid w:val="0"/>
        <w:spacing w:line="360" w:lineRule="auto"/>
        <w:ind w:firstLineChars="200" w:firstLine="480"/>
        <w:rPr>
          <w:rFonts w:asciiTheme="minorEastAsia" w:hAnsiTheme="minorEastAsia"/>
          <w:sz w:val="24"/>
          <w:szCs w:val="30"/>
        </w:rPr>
      </w:pPr>
      <w:r>
        <w:rPr>
          <w:rFonts w:asciiTheme="minorEastAsia" w:hAnsiTheme="minorEastAsia"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（三）订立托管协议的原则</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基金管理人和基金托管人本着平等自愿、诚实信用、充分保护基金份额持有人合法权益的原则，经协商一致，签订本协议。</w:t>
      </w:r>
    </w:p>
    <w:p w:rsidR="002F4F6D" w:rsidRDefault="002F4F6D">
      <w:pPr>
        <w:spacing w:line="360" w:lineRule="auto"/>
        <w:rPr>
          <w:rFonts w:asciiTheme="minorEastAsia" w:hAnsiTheme="minorEastAsia"/>
          <w:sz w:val="24"/>
        </w:rPr>
      </w:pPr>
    </w:p>
    <w:p w:rsidR="002F4F6D" w:rsidRDefault="007A5871">
      <w:pPr>
        <w:pStyle w:val="2"/>
        <w:spacing w:line="360" w:lineRule="auto"/>
        <w:jc w:val="center"/>
        <w:rPr>
          <w:rFonts w:asciiTheme="minorEastAsia" w:eastAsiaTheme="minorEastAsia" w:hAnsiTheme="minorEastAsia"/>
          <w:sz w:val="30"/>
          <w:szCs w:val="24"/>
        </w:rPr>
      </w:pPr>
      <w:bookmarkStart w:id="4" w:name="_Toc124325887"/>
      <w:r>
        <w:rPr>
          <w:rFonts w:asciiTheme="minorEastAsia" w:eastAsiaTheme="minorEastAsia" w:hAnsiTheme="minorEastAsia" w:hint="eastAsia"/>
          <w:sz w:val="30"/>
        </w:rPr>
        <w:lastRenderedPageBreak/>
        <w:t>三、基金托管人对基金管理人的业务监督和核查</w:t>
      </w:r>
      <w:bookmarkEnd w:id="4"/>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将拟投资的标的证券库中各投资品种的具体范围提供给基金托管人，基金管理人可以根据实际情况的变化，对各投资品种的具体范围予以更新和调整并及时通知基金托管人。基金托管人根据上述投资范围对基金的实际投资是否符合《基金合同》关于证券选择标准的约定进行监督。</w:t>
      </w:r>
    </w:p>
    <w:p w:rsidR="002F4F6D" w:rsidRDefault="007A5871">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本基金的投资范围为具有良好流动性的金融工具，包括国内依法发行上市的股票（包括创业板及其他依法发行、上市的股票、存托凭证）、港股通标的股票、债券（包括国债、地方政府债、金融债、企业债、公司债、次级债、可转换债券（含分离交易可转债）、可交换债券、央行票据、中期票据、短期融资</w:t>
      </w:r>
      <w:proofErr w:type="gramStart"/>
      <w:r>
        <w:rPr>
          <w:rFonts w:asciiTheme="minorEastAsia" w:hAnsiTheme="minorEastAsia" w:hint="eastAsia"/>
          <w:sz w:val="24"/>
        </w:rPr>
        <w:t>券</w:t>
      </w:r>
      <w:proofErr w:type="gramEnd"/>
      <w:r>
        <w:rPr>
          <w:rFonts w:asciiTheme="minorEastAsia" w:hAnsiTheme="minorEastAsia" w:hint="eastAsia"/>
          <w:sz w:val="24"/>
        </w:rPr>
        <w:t>（包括超短期融资</w:t>
      </w:r>
      <w:proofErr w:type="gramStart"/>
      <w:r>
        <w:rPr>
          <w:rFonts w:asciiTheme="minorEastAsia" w:hAnsiTheme="minorEastAsia" w:hint="eastAsia"/>
          <w:sz w:val="24"/>
        </w:rPr>
        <w:t>券</w:t>
      </w:r>
      <w:proofErr w:type="gramEnd"/>
      <w:r>
        <w:rPr>
          <w:rFonts w:asciiTheme="minorEastAsia" w:hAnsiTheme="minorEastAsia" w:hint="eastAsia"/>
          <w:sz w:val="24"/>
        </w:rPr>
        <w:t>）等）、资产支持证券、债券回购、银行存款、同业存单、货币市场工具、股指期货、国债期货以及法律法规或中国证监会允许基金投资的其他金融工具（但须符合中国证监会相关规定）。</w:t>
      </w:r>
    </w:p>
    <w:p w:rsidR="002F4F6D" w:rsidRDefault="007A5871">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如法律法规或监管机构以后允许基金投资其他品种，基金管理人在履行适当程序后，可以将其纳入投资范围。</w:t>
      </w:r>
    </w:p>
    <w:p w:rsidR="002F4F6D" w:rsidRDefault="007A5871">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本基金为混合型基金，基金的投资组合比例为：</w:t>
      </w:r>
      <w:r>
        <w:rPr>
          <w:rFonts w:asciiTheme="minorEastAsia" w:hAnsiTheme="minorEastAsia" w:cs="Arial" w:hint="eastAsia"/>
          <w:sz w:val="24"/>
        </w:rPr>
        <w:t>股票</w:t>
      </w:r>
      <w:r>
        <w:rPr>
          <w:rFonts w:asciiTheme="minorEastAsia" w:hAnsiTheme="minorEastAsia" w:hint="eastAsia"/>
          <w:sz w:val="24"/>
        </w:rPr>
        <w:t>资产占基金资产的比例为</w:t>
      </w:r>
      <w:r>
        <w:rPr>
          <w:rFonts w:asciiTheme="minorEastAsia" w:hAnsiTheme="minorEastAsia"/>
          <w:sz w:val="24"/>
        </w:rPr>
        <w:t>60</w:t>
      </w:r>
      <w:r>
        <w:rPr>
          <w:rFonts w:asciiTheme="minorEastAsia" w:hAnsiTheme="minorEastAsia" w:hint="eastAsia"/>
          <w:sz w:val="24"/>
        </w:rPr>
        <w:t>%</w:t>
      </w:r>
      <w:r>
        <w:rPr>
          <w:rFonts w:asciiTheme="minorEastAsia" w:hAnsiTheme="minorEastAsia"/>
          <w:sz w:val="24"/>
        </w:rPr>
        <w:t>-95%</w:t>
      </w:r>
      <w:r>
        <w:rPr>
          <w:rFonts w:asciiTheme="minorEastAsia" w:hAnsiTheme="minorEastAsia" w:hint="eastAsia"/>
          <w:sz w:val="24"/>
        </w:rPr>
        <w:t>（其中投资于港股通标的股票的比例不得超过股票资产的</w:t>
      </w:r>
      <w:r>
        <w:rPr>
          <w:rFonts w:asciiTheme="minorEastAsia" w:hAnsiTheme="minorEastAsia"/>
          <w:sz w:val="24"/>
        </w:rPr>
        <w:t>50%</w:t>
      </w:r>
      <w:r>
        <w:rPr>
          <w:rFonts w:asciiTheme="minorEastAsia" w:hAnsiTheme="minorEastAsia" w:cs="Arial" w:hint="eastAsia"/>
          <w:sz w:val="24"/>
        </w:rPr>
        <w:t>）；</w:t>
      </w:r>
      <w:r>
        <w:rPr>
          <w:rFonts w:asciiTheme="minorEastAsia" w:hAnsiTheme="minorEastAsia" w:hint="eastAsia"/>
          <w:sz w:val="24"/>
        </w:rPr>
        <w:t>每个交易日日终在扣除国债期货和股指期货合约需缴纳的交易保证金后，现金或到期日在一年以内的政府债券不低于基金资产净值的</w:t>
      </w:r>
      <w:r>
        <w:rPr>
          <w:rFonts w:asciiTheme="minorEastAsia" w:hAnsiTheme="minorEastAsia"/>
          <w:sz w:val="24"/>
        </w:rPr>
        <w:t>5%</w:t>
      </w:r>
      <w:r>
        <w:rPr>
          <w:rFonts w:asciiTheme="minorEastAsia" w:hAnsiTheme="minorEastAsia" w:hint="eastAsia"/>
          <w:sz w:val="24"/>
        </w:rPr>
        <w:t>，其中现金不包括结算备付金、存出保证金和应收申购款等。</w:t>
      </w:r>
    </w:p>
    <w:p w:rsidR="002F4F6D" w:rsidRDefault="007A5871">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如法律法规或监管机构对投资比例要求有变更的，基金管理人在履行适当程序后，可以做出相应调整。</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（二）基金托管人根据有关法律法规的规定及《基金合同》的约定，对基金投资、融资比例进行监督。基金托管人按下述比例和调整期限进行监督：</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基金的投资组合应遵循以下限制：</w:t>
      </w:r>
    </w:p>
    <w:p w:rsidR="002F4F6D" w:rsidRDefault="007A5871">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）股票资产占基金资产的比例为</w:t>
      </w:r>
      <w:r>
        <w:rPr>
          <w:rFonts w:hint="eastAsia"/>
          <w:bCs/>
          <w:sz w:val="24"/>
        </w:rPr>
        <w:t>60%-95%</w:t>
      </w:r>
      <w:r>
        <w:rPr>
          <w:rFonts w:hint="eastAsia"/>
          <w:bCs/>
          <w:sz w:val="24"/>
        </w:rPr>
        <w:t>（其中投资于港股通标的股票的比例不得超过股票资产的</w:t>
      </w:r>
      <w:r>
        <w:rPr>
          <w:rFonts w:hint="eastAsia"/>
          <w:bCs/>
          <w:sz w:val="24"/>
        </w:rPr>
        <w:t>50%</w:t>
      </w:r>
      <w:r>
        <w:rPr>
          <w:rFonts w:hint="eastAsia"/>
          <w:bCs/>
          <w:sz w:val="24"/>
        </w:rPr>
        <w:t>）；</w:t>
      </w:r>
      <w:r>
        <w:rPr>
          <w:rFonts w:hint="eastAsia"/>
          <w:bCs/>
          <w:sz w:val="24"/>
        </w:rPr>
        <w:t xml:space="preserve"> </w:t>
      </w:r>
    </w:p>
    <w:p w:rsidR="002F4F6D" w:rsidRDefault="007A5871">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）每个交易日日终在扣除国债期货和股指期货合约需缴纳的交易保证金后，</w:t>
      </w:r>
      <w:r>
        <w:rPr>
          <w:rFonts w:hint="eastAsia"/>
          <w:bCs/>
          <w:sz w:val="24"/>
        </w:rPr>
        <w:lastRenderedPageBreak/>
        <w:t>保持不低于基金资产净值</w:t>
      </w:r>
      <w:r>
        <w:rPr>
          <w:rFonts w:hint="eastAsia"/>
          <w:bCs/>
          <w:sz w:val="24"/>
        </w:rPr>
        <w:t>5</w:t>
      </w:r>
      <w:r>
        <w:rPr>
          <w:rFonts w:hint="eastAsia"/>
          <w:bCs/>
          <w:sz w:val="24"/>
        </w:rPr>
        <w:t>％的现金或者到期日在一年以内的政府债券，其中现金不得包括结算备付金、存出保证金及应收申购款等；</w:t>
      </w:r>
    </w:p>
    <w:p w:rsidR="002F4F6D" w:rsidRDefault="007A5871">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）本基金持有一家公司发行的证券，其市值（同一家公司在境内和香港同时上市的</w:t>
      </w:r>
      <w:r>
        <w:rPr>
          <w:rFonts w:hint="eastAsia"/>
          <w:bCs/>
          <w:sz w:val="24"/>
        </w:rPr>
        <w:t>A+H</w:t>
      </w:r>
      <w:r>
        <w:rPr>
          <w:rFonts w:hint="eastAsia"/>
          <w:bCs/>
          <w:sz w:val="24"/>
        </w:rPr>
        <w:t>股合并计算）不超过基金资产净值的</w:t>
      </w:r>
      <w:r>
        <w:rPr>
          <w:rFonts w:hint="eastAsia"/>
          <w:bCs/>
          <w:sz w:val="24"/>
        </w:rPr>
        <w:t>10</w:t>
      </w:r>
      <w:r>
        <w:rPr>
          <w:rFonts w:hint="eastAsia"/>
          <w:bCs/>
          <w:sz w:val="24"/>
        </w:rPr>
        <w:t>％；</w:t>
      </w:r>
    </w:p>
    <w:p w:rsidR="002F4F6D" w:rsidRDefault="007A5871">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）本基金管理人管理且由本基金托管人托管的全部基金持有一家公司发行的证券（同一家公司在境内和香港同时上市的</w:t>
      </w:r>
      <w:r>
        <w:rPr>
          <w:rFonts w:hint="eastAsia"/>
          <w:bCs/>
          <w:sz w:val="24"/>
        </w:rPr>
        <w:t>A+H</w:t>
      </w:r>
      <w:r>
        <w:rPr>
          <w:rFonts w:hint="eastAsia"/>
          <w:bCs/>
          <w:sz w:val="24"/>
        </w:rPr>
        <w:t>股合并计算），不超过该证券的</w:t>
      </w:r>
      <w:r>
        <w:rPr>
          <w:rFonts w:hint="eastAsia"/>
          <w:bCs/>
          <w:sz w:val="24"/>
        </w:rPr>
        <w:t>10</w:t>
      </w:r>
      <w:r>
        <w:rPr>
          <w:rFonts w:hint="eastAsia"/>
          <w:bCs/>
          <w:sz w:val="24"/>
        </w:rPr>
        <w:t>％；</w:t>
      </w:r>
    </w:p>
    <w:p w:rsidR="002F4F6D" w:rsidRDefault="007A5871">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）本基金管理人管理且由本基金托管人托管的全部开放式基金持有一家上市公司发行的可流通股票，不得超过该上市公司可流通股票的</w:t>
      </w:r>
      <w:r>
        <w:rPr>
          <w:rFonts w:hint="eastAsia"/>
          <w:bCs/>
          <w:sz w:val="24"/>
        </w:rPr>
        <w:t>15%</w:t>
      </w:r>
      <w:r>
        <w:rPr>
          <w:rFonts w:hint="eastAsia"/>
          <w:bCs/>
          <w:sz w:val="24"/>
        </w:rPr>
        <w:t>；本基金管理人管理且由本基金托管人托管的全部投资组合持有一家上市公司发行的可流通股票，不得超过该上市公司可流通股票的</w:t>
      </w:r>
      <w:r>
        <w:rPr>
          <w:rFonts w:hint="eastAsia"/>
          <w:bCs/>
          <w:sz w:val="24"/>
        </w:rPr>
        <w:t>30%</w:t>
      </w:r>
      <w:r>
        <w:rPr>
          <w:rFonts w:hint="eastAsia"/>
          <w:bCs/>
          <w:sz w:val="24"/>
        </w:rPr>
        <w:t>；</w:t>
      </w:r>
    </w:p>
    <w:p w:rsidR="002F4F6D" w:rsidRDefault="007A5871">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rsidR="002F4F6D" w:rsidRDefault="007A5871">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）本基金持有的全部资产支持证券，其市值不得超过基金资产净值的</w:t>
      </w:r>
      <w:r>
        <w:rPr>
          <w:rFonts w:hint="eastAsia"/>
          <w:bCs/>
          <w:sz w:val="24"/>
        </w:rPr>
        <w:t>20%</w:t>
      </w:r>
      <w:r>
        <w:rPr>
          <w:rFonts w:hint="eastAsia"/>
          <w:bCs/>
          <w:sz w:val="24"/>
        </w:rPr>
        <w:t>；</w:t>
      </w:r>
    </w:p>
    <w:p w:rsidR="002F4F6D" w:rsidRDefault="007A5871">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rsidR="002F4F6D" w:rsidRDefault="007A5871">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）本基金管理人管理且由本基金托管人托管的全部基金投资于同一原始权益人的各类资产支持证券，不得超过其各类资产支持证券合计规模的</w:t>
      </w:r>
      <w:r>
        <w:rPr>
          <w:rFonts w:hint="eastAsia"/>
          <w:bCs/>
          <w:sz w:val="24"/>
        </w:rPr>
        <w:t>10</w:t>
      </w:r>
      <w:r>
        <w:rPr>
          <w:rFonts w:hint="eastAsia"/>
          <w:bCs/>
          <w:sz w:val="24"/>
        </w:rPr>
        <w:t>％；</w:t>
      </w:r>
    </w:p>
    <w:p w:rsidR="002F4F6D" w:rsidRDefault="007A5871">
      <w:pPr>
        <w:adjustRightInd w:val="0"/>
        <w:snapToGrid w:val="0"/>
        <w:spacing w:line="360" w:lineRule="auto"/>
        <w:ind w:firstLineChars="200" w:firstLine="480"/>
        <w:rPr>
          <w:bCs/>
          <w:sz w:val="24"/>
        </w:rPr>
      </w:pPr>
      <w:r>
        <w:rPr>
          <w:rFonts w:hint="eastAsia"/>
          <w:bCs/>
          <w:sz w:val="24"/>
        </w:rPr>
        <w:t>（</w:t>
      </w:r>
      <w:r>
        <w:rPr>
          <w:rFonts w:hint="eastAsia"/>
          <w:bCs/>
          <w:sz w:val="24"/>
        </w:rPr>
        <w:t>10</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rsidR="002F4F6D" w:rsidRDefault="007A5871">
      <w:pPr>
        <w:adjustRightInd w:val="0"/>
        <w:snapToGrid w:val="0"/>
        <w:spacing w:line="360" w:lineRule="auto"/>
        <w:ind w:firstLineChars="200" w:firstLine="480"/>
        <w:rPr>
          <w:bCs/>
          <w:sz w:val="24"/>
        </w:rPr>
      </w:pPr>
      <w:r>
        <w:rPr>
          <w:rFonts w:hint="eastAsia"/>
          <w:bCs/>
          <w:sz w:val="24"/>
        </w:rPr>
        <w:t>（</w:t>
      </w:r>
      <w:r>
        <w:rPr>
          <w:rFonts w:hint="eastAsia"/>
          <w:bCs/>
          <w:sz w:val="24"/>
        </w:rPr>
        <w:t>11</w:t>
      </w:r>
      <w:r>
        <w:rPr>
          <w:rFonts w:hint="eastAsia"/>
          <w:bCs/>
          <w:sz w:val="24"/>
        </w:rPr>
        <w:t>）基金财产参与股票发行申购，本基金所申报的金额不超过本基金的总资产，本基金所申报的股票数量不超过拟发行股票公司本次发行股票的总量；</w:t>
      </w:r>
    </w:p>
    <w:p w:rsidR="002F4F6D" w:rsidRDefault="007A5871">
      <w:pPr>
        <w:adjustRightInd w:val="0"/>
        <w:snapToGrid w:val="0"/>
        <w:spacing w:line="360" w:lineRule="auto"/>
        <w:ind w:firstLineChars="200" w:firstLine="480"/>
        <w:rPr>
          <w:bCs/>
          <w:sz w:val="24"/>
        </w:rPr>
      </w:pPr>
      <w:r>
        <w:rPr>
          <w:rFonts w:hint="eastAsia"/>
          <w:bCs/>
          <w:sz w:val="24"/>
        </w:rPr>
        <w:t>（</w:t>
      </w:r>
      <w:r>
        <w:rPr>
          <w:rFonts w:hint="eastAsia"/>
          <w:bCs/>
          <w:sz w:val="24"/>
        </w:rPr>
        <w:t>12</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，在全国银行间同业市场的债券回购最长期限为</w:t>
      </w:r>
      <w:r>
        <w:rPr>
          <w:rFonts w:hint="eastAsia"/>
          <w:bCs/>
          <w:sz w:val="24"/>
        </w:rPr>
        <w:t>1</w:t>
      </w:r>
      <w:r>
        <w:rPr>
          <w:rFonts w:hint="eastAsia"/>
          <w:bCs/>
          <w:sz w:val="24"/>
        </w:rPr>
        <w:t>年，债券回购到期后</w:t>
      </w:r>
      <w:proofErr w:type="gramStart"/>
      <w:r>
        <w:rPr>
          <w:rFonts w:hint="eastAsia"/>
          <w:bCs/>
          <w:sz w:val="24"/>
        </w:rPr>
        <w:t>不</w:t>
      </w:r>
      <w:proofErr w:type="gramEnd"/>
      <w:r>
        <w:rPr>
          <w:rFonts w:hint="eastAsia"/>
          <w:bCs/>
          <w:sz w:val="24"/>
        </w:rPr>
        <w:t>展期；</w:t>
      </w:r>
    </w:p>
    <w:p w:rsidR="002F4F6D" w:rsidRDefault="007A5871">
      <w:pPr>
        <w:adjustRightInd w:val="0"/>
        <w:snapToGrid w:val="0"/>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）本基金参与股指期货交易，还须遵守以下限制：</w:t>
      </w:r>
    </w:p>
    <w:p w:rsidR="002F4F6D" w:rsidRDefault="007A5871">
      <w:pPr>
        <w:adjustRightInd w:val="0"/>
        <w:snapToGrid w:val="0"/>
        <w:spacing w:line="360" w:lineRule="auto"/>
        <w:ind w:firstLineChars="200" w:firstLine="480"/>
        <w:rPr>
          <w:bCs/>
          <w:sz w:val="24"/>
        </w:rPr>
      </w:pPr>
      <w:r>
        <w:rPr>
          <w:rFonts w:hint="eastAsia"/>
          <w:bCs/>
          <w:sz w:val="24"/>
        </w:rPr>
        <w:t>在任何交易日日终，持有的买入股指期货合约价值，不得超过基金资产净值的</w:t>
      </w:r>
      <w:r>
        <w:rPr>
          <w:rFonts w:hint="eastAsia"/>
          <w:bCs/>
          <w:sz w:val="24"/>
        </w:rPr>
        <w:t>10%</w:t>
      </w:r>
      <w:r>
        <w:rPr>
          <w:rFonts w:hint="eastAsia"/>
          <w:bCs/>
          <w:sz w:val="24"/>
        </w:rPr>
        <w:t>；在任何交易日日终，持有的买入国债期货和股指期货合约价值与有价证券市值之和不得超过基金资产净值的</w:t>
      </w:r>
      <w:r>
        <w:rPr>
          <w:rFonts w:hint="eastAsia"/>
          <w:bCs/>
          <w:sz w:val="24"/>
        </w:rPr>
        <w:t>95%</w:t>
      </w:r>
      <w:r>
        <w:rPr>
          <w:rFonts w:hint="eastAsia"/>
          <w:bCs/>
          <w:sz w:val="24"/>
        </w:rPr>
        <w:t>，其中，有价证券指股票、债券（不含到期日</w:t>
      </w:r>
      <w:r>
        <w:rPr>
          <w:rFonts w:hint="eastAsia"/>
          <w:bCs/>
          <w:sz w:val="24"/>
        </w:rPr>
        <w:lastRenderedPageBreak/>
        <w:t>在一年以内的政府债券）、资产支持证券、买入返售金融资产（不含质押式回购）等；在任何交易日日终，持有的卖出股指期货合约价值不得超过基金持有的股票总市值的</w:t>
      </w:r>
      <w:r>
        <w:rPr>
          <w:rFonts w:hint="eastAsia"/>
          <w:bCs/>
          <w:sz w:val="24"/>
        </w:rPr>
        <w:t>20%</w:t>
      </w:r>
      <w:r>
        <w:rPr>
          <w:rFonts w:hint="eastAsia"/>
          <w:bCs/>
          <w:sz w:val="24"/>
        </w:rPr>
        <w:t>；在任何交易日内交易（不包括平仓）的股指期货合约的成交金额不得超过上一交易日基金资产净值的</w:t>
      </w:r>
      <w:r>
        <w:rPr>
          <w:rFonts w:hint="eastAsia"/>
          <w:bCs/>
          <w:sz w:val="24"/>
        </w:rPr>
        <w:t>20%</w:t>
      </w:r>
      <w:r>
        <w:rPr>
          <w:rFonts w:hint="eastAsia"/>
          <w:bCs/>
          <w:sz w:val="24"/>
        </w:rPr>
        <w:t>；本基金所持有的股票市值和买入、卖出股指期货合约价值合计（轧差计算）应当符合基金合同关于股票投资比例的有关约定；</w:t>
      </w:r>
    </w:p>
    <w:p w:rsidR="002F4F6D" w:rsidRDefault="007A5871">
      <w:pPr>
        <w:adjustRightInd w:val="0"/>
        <w:snapToGrid w:val="0"/>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）本基金参与国债期货交易，还须遵守以下限制：</w:t>
      </w:r>
    </w:p>
    <w:p w:rsidR="002F4F6D" w:rsidRDefault="007A5871">
      <w:pPr>
        <w:adjustRightInd w:val="0"/>
        <w:snapToGrid w:val="0"/>
        <w:spacing w:line="360" w:lineRule="auto"/>
        <w:ind w:firstLineChars="200" w:firstLine="480"/>
        <w:rPr>
          <w:bCs/>
          <w:sz w:val="24"/>
        </w:rPr>
      </w:pPr>
      <w:r>
        <w:rPr>
          <w:rFonts w:hint="eastAsia"/>
          <w:bCs/>
          <w:sz w:val="24"/>
        </w:rPr>
        <w:t>在任何交易日日终，持有的买入国债期货合约价值，不得超过基金资产净值的</w:t>
      </w:r>
      <w:r>
        <w:rPr>
          <w:rFonts w:hint="eastAsia"/>
          <w:bCs/>
          <w:sz w:val="24"/>
        </w:rPr>
        <w:t>15%</w:t>
      </w:r>
      <w:r>
        <w:rPr>
          <w:rFonts w:hint="eastAsia"/>
          <w:bCs/>
          <w:sz w:val="24"/>
        </w:rPr>
        <w:t>；在任何交易日日终，持有的卖出国债期货合约价值不得超过基金持有的债券总市值的</w:t>
      </w:r>
      <w:r>
        <w:rPr>
          <w:rFonts w:hint="eastAsia"/>
          <w:bCs/>
          <w:sz w:val="24"/>
        </w:rPr>
        <w:t>30%</w:t>
      </w:r>
      <w:r>
        <w:rPr>
          <w:rFonts w:hint="eastAsia"/>
          <w:bCs/>
          <w:sz w:val="24"/>
        </w:rPr>
        <w:t>；在任何交易日内交易（不包括平仓）的国债期货合约的成交金额不得超过上一交易日基金资产净值的</w:t>
      </w:r>
      <w:r>
        <w:rPr>
          <w:rFonts w:hint="eastAsia"/>
          <w:bCs/>
          <w:sz w:val="24"/>
        </w:rPr>
        <w:t>30%</w:t>
      </w:r>
      <w:r>
        <w:rPr>
          <w:rFonts w:hint="eastAsia"/>
          <w:bCs/>
          <w:sz w:val="24"/>
        </w:rPr>
        <w:t>；</w:t>
      </w:r>
      <w:r>
        <w:rPr>
          <w:rFonts w:hint="eastAsia"/>
          <w:bCs/>
          <w:sz w:val="24"/>
        </w:rPr>
        <w:t xml:space="preserve"> </w:t>
      </w:r>
    </w:p>
    <w:p w:rsidR="002F4F6D" w:rsidRDefault="007A5871">
      <w:pPr>
        <w:adjustRightInd w:val="0"/>
        <w:snapToGrid w:val="0"/>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rsidR="002F4F6D" w:rsidRDefault="007A5871">
      <w:pPr>
        <w:adjustRightInd w:val="0"/>
        <w:snapToGrid w:val="0"/>
        <w:spacing w:line="360" w:lineRule="auto"/>
        <w:ind w:firstLineChars="200" w:firstLine="480"/>
        <w:rPr>
          <w:bCs/>
          <w:sz w:val="24"/>
        </w:rPr>
      </w:pPr>
      <w:r>
        <w:rPr>
          <w:rFonts w:hint="eastAsia"/>
          <w:bCs/>
          <w:sz w:val="24"/>
        </w:rPr>
        <w:t>（</w:t>
      </w:r>
      <w:r>
        <w:rPr>
          <w:rFonts w:hint="eastAsia"/>
          <w:bCs/>
          <w:sz w:val="24"/>
        </w:rPr>
        <w:t>16</w:t>
      </w:r>
      <w:r>
        <w:rPr>
          <w:rFonts w:hint="eastAsia"/>
          <w:bCs/>
          <w:sz w:val="24"/>
        </w:rPr>
        <w:t>）本</w:t>
      </w:r>
      <w:proofErr w:type="gramStart"/>
      <w:r>
        <w:rPr>
          <w:rFonts w:hint="eastAsia"/>
          <w:bCs/>
          <w:sz w:val="24"/>
        </w:rPr>
        <w:t>基金基金</w:t>
      </w:r>
      <w:proofErr w:type="gramEnd"/>
      <w:r>
        <w:rPr>
          <w:rFonts w:hint="eastAsia"/>
          <w:bCs/>
          <w:sz w:val="24"/>
        </w:rPr>
        <w:t>总资产不得超过基金净资产的</w:t>
      </w:r>
      <w:r>
        <w:rPr>
          <w:rFonts w:hint="eastAsia"/>
          <w:bCs/>
          <w:sz w:val="24"/>
        </w:rPr>
        <w:t>140%</w:t>
      </w:r>
      <w:r>
        <w:rPr>
          <w:rFonts w:hint="eastAsia"/>
          <w:bCs/>
          <w:sz w:val="24"/>
        </w:rPr>
        <w:t>；</w:t>
      </w:r>
    </w:p>
    <w:p w:rsidR="002F4F6D" w:rsidRDefault="007A5871">
      <w:pPr>
        <w:adjustRightInd w:val="0"/>
        <w:snapToGrid w:val="0"/>
        <w:spacing w:line="360" w:lineRule="auto"/>
        <w:ind w:firstLineChars="200" w:firstLine="480"/>
        <w:rPr>
          <w:bCs/>
          <w:sz w:val="24"/>
        </w:rPr>
      </w:pPr>
      <w:r>
        <w:rPr>
          <w:rFonts w:hint="eastAsia"/>
          <w:bCs/>
          <w:sz w:val="24"/>
        </w:rPr>
        <w:t>（</w:t>
      </w:r>
      <w:r>
        <w:rPr>
          <w:rFonts w:hint="eastAsia"/>
          <w:bCs/>
          <w:sz w:val="24"/>
        </w:rPr>
        <w:t>17</w:t>
      </w:r>
      <w:r>
        <w:rPr>
          <w:rFonts w:hint="eastAsia"/>
          <w:bCs/>
          <w:sz w:val="24"/>
        </w:rPr>
        <w:t>）本基金投资存托凭证的比例限制依照境内上市交易的股票执行，与境内上市交易的股票合并计算；</w:t>
      </w:r>
    </w:p>
    <w:p w:rsidR="002F4F6D" w:rsidRDefault="007A5871">
      <w:pPr>
        <w:adjustRightInd w:val="0"/>
        <w:snapToGrid w:val="0"/>
        <w:spacing w:line="360" w:lineRule="auto"/>
        <w:ind w:firstLineChars="200" w:firstLine="480"/>
        <w:rPr>
          <w:bCs/>
          <w:sz w:val="24"/>
        </w:rPr>
      </w:pPr>
      <w:r>
        <w:rPr>
          <w:rFonts w:hint="eastAsia"/>
          <w:bCs/>
          <w:sz w:val="24"/>
        </w:rPr>
        <w:t>（</w:t>
      </w:r>
      <w:r>
        <w:rPr>
          <w:rFonts w:hint="eastAsia"/>
          <w:bCs/>
          <w:sz w:val="24"/>
        </w:rPr>
        <w:t>18</w:t>
      </w:r>
      <w:r>
        <w:rPr>
          <w:rFonts w:hint="eastAsia"/>
          <w:bCs/>
          <w:sz w:val="24"/>
        </w:rPr>
        <w:t>）法律法规及中国证监会规定的和《基金合同》约定的其他投资限制。</w:t>
      </w:r>
    </w:p>
    <w:p w:rsidR="002F4F6D" w:rsidRDefault="007A5871">
      <w:pPr>
        <w:adjustRightInd w:val="0"/>
        <w:snapToGrid w:val="0"/>
        <w:spacing w:line="360" w:lineRule="auto"/>
        <w:ind w:firstLineChars="200" w:firstLine="480"/>
        <w:rPr>
          <w:bCs/>
          <w:sz w:val="24"/>
        </w:rPr>
      </w:pPr>
      <w:r>
        <w:rPr>
          <w:rFonts w:hint="eastAsia"/>
          <w:bCs/>
          <w:sz w:val="24"/>
        </w:rPr>
        <w:t>除上述第（</w:t>
      </w:r>
      <w:r>
        <w:rPr>
          <w:rFonts w:hint="eastAsia"/>
          <w:bCs/>
          <w:sz w:val="24"/>
        </w:rPr>
        <w:t>2</w:t>
      </w:r>
      <w:r>
        <w:rPr>
          <w:rFonts w:hint="eastAsia"/>
          <w:bCs/>
          <w:sz w:val="24"/>
        </w:rPr>
        <w:t>）、（</w:t>
      </w:r>
      <w:r>
        <w:rPr>
          <w:rFonts w:hint="eastAsia"/>
          <w:bCs/>
          <w:sz w:val="24"/>
        </w:rPr>
        <w:t>10</w:t>
      </w:r>
      <w:r>
        <w:rPr>
          <w:rFonts w:hint="eastAsia"/>
          <w:bCs/>
          <w:sz w:val="24"/>
        </w:rPr>
        <w:t>）、（</w:t>
      </w:r>
      <w:r>
        <w:rPr>
          <w:rFonts w:hint="eastAsia"/>
          <w:bCs/>
          <w:sz w:val="24"/>
        </w:rPr>
        <w:t>15</w:t>
      </w:r>
      <w:r>
        <w:rPr>
          <w:rFonts w:hint="eastAsia"/>
          <w:bCs/>
          <w:sz w:val="24"/>
        </w:rPr>
        <w:t>）项规定以外，因证券、期货市场波动、证券发行人合并、基金规模变动等基金管理人之外的因素致使基金投资比例不符合上述规定投资比例的，基金管理人应当在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w:t>
      </w:r>
    </w:p>
    <w:p w:rsidR="002F4F6D" w:rsidRDefault="007A5871">
      <w:pPr>
        <w:adjustRightInd w:val="0"/>
        <w:snapToGrid w:val="0"/>
        <w:spacing w:line="360" w:lineRule="auto"/>
        <w:ind w:firstLineChars="200" w:firstLine="480"/>
        <w:rPr>
          <w:rFonts w:asciiTheme="minorEastAsia" w:hAnsiTheme="minorEastAsia" w:cs="Arial"/>
          <w:sz w:val="24"/>
        </w:rPr>
      </w:pPr>
      <w:r>
        <w:rPr>
          <w:bCs/>
          <w:sz w:val="24"/>
        </w:rPr>
        <w:t>基金管理人应当自基金合同生效之日起</w:t>
      </w:r>
      <w:r>
        <w:rPr>
          <w:rFonts w:hint="eastAsia"/>
          <w:bCs/>
          <w:sz w:val="24"/>
        </w:rPr>
        <w:t>6</w:t>
      </w:r>
      <w:r>
        <w:rPr>
          <w:bCs/>
          <w:sz w:val="24"/>
        </w:rPr>
        <w:t>个月内使基金的投资组合比例符合基金合同的有关约定。基金托管人对基金的投资的监督与检查自本基金合同生效之日起开始。法律法规或监管部门取消上述限制，如适用于本基金，基金管理人</w:t>
      </w:r>
      <w:r>
        <w:rPr>
          <w:rFonts w:hint="eastAsia"/>
          <w:bCs/>
          <w:sz w:val="24"/>
        </w:rPr>
        <w:t>在</w:t>
      </w:r>
      <w:r>
        <w:rPr>
          <w:bCs/>
          <w:sz w:val="24"/>
        </w:rPr>
        <w:t>履行适当程序后，则本基金投资不再受相关限制。</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（三）基金托管人</w:t>
      </w:r>
      <w:bookmarkStart w:id="5" w:name="OLE_LINK1"/>
      <w:r>
        <w:rPr>
          <w:rFonts w:asciiTheme="minorEastAsia" w:hAnsiTheme="minorEastAsia" w:cs="Arial" w:hint="eastAsia"/>
          <w:sz w:val="24"/>
        </w:rPr>
        <w:t>根据有关法律法规的规定及《基金合同》的约定，</w:t>
      </w:r>
      <w:bookmarkEnd w:id="5"/>
      <w:r>
        <w:rPr>
          <w:rFonts w:asciiTheme="minorEastAsia" w:hAnsiTheme="minorEastAsia" w:cs="Arial" w:hint="eastAsia"/>
          <w:sz w:val="24"/>
        </w:rPr>
        <w:t>对本托管协议第十五条第九款基金投资禁止行为通过事后监督方式进行监督。</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基金管理人运用基金财产买卖基金管理人、基金托管人及其控股股东、实际控制人或者与其有重大利害关系的公司发行的证券或者承销期内承销的证券，或者</w:t>
      </w:r>
      <w:r>
        <w:rPr>
          <w:rFonts w:asciiTheme="minorEastAsia" w:hAnsiTheme="minorEastAsia" w:cs="Arial" w:hint="eastAsia"/>
          <w:sz w:val="24"/>
        </w:rPr>
        <w:lastRenderedPageBreak/>
        <w:t>从事其他重大关联交易的，应当符合基金的投资目标和投资策略，遵循基金份额持有人利益优先的原则，防范利益冲突，相关交易必须事先得到基金托管人的同意，并履行信息披露义务。</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（四）法律法规或监管部门取消上述组合限制、禁止行为规定或从事关联交易 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2F4F6D" w:rsidRDefault="007A5871">
      <w:pPr>
        <w:adjustRightInd w:val="0"/>
        <w:snapToGrid w:val="0"/>
        <w:spacing w:line="360" w:lineRule="auto"/>
        <w:ind w:firstLineChars="200" w:firstLine="480"/>
        <w:rPr>
          <w:rFonts w:asciiTheme="minorEastAsia" w:hAnsiTheme="minorEastAsia" w:cs="Arial"/>
        </w:rPr>
      </w:pPr>
      <w:r>
        <w:rPr>
          <w:rFonts w:asciiTheme="minorEastAsia" w:hAnsiTheme="minorEastAsia" w:cs="Arial" w:hint="eastAsia"/>
          <w:sz w:val="24"/>
        </w:rPr>
        <w:t>（五）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若管理人未提供交易对手名单，则视同可与所有交易对手进行交易。</w:t>
      </w:r>
    </w:p>
    <w:p w:rsidR="002F4F6D" w:rsidRDefault="007A5871">
      <w:pPr>
        <w:adjustRightInd w:val="0"/>
        <w:snapToGrid w:val="0"/>
        <w:spacing w:line="360" w:lineRule="auto"/>
        <w:ind w:firstLineChars="200" w:firstLine="480"/>
        <w:rPr>
          <w:rFonts w:asciiTheme="minorEastAsia" w:hAnsiTheme="minorEastAsia" w:cs="Arial"/>
        </w:rPr>
      </w:pPr>
      <w:r>
        <w:rPr>
          <w:rFonts w:asciiTheme="minorEastAsia" w:hAnsiTheme="minorEastAsia" w:cs="Arial" w:hint="eastAsia"/>
          <w:sz w:val="24"/>
        </w:rPr>
        <w:t>基金管理人负责对交易对手的资信控制，按银行间债券市场的交易规则进行交易，并</w:t>
      </w:r>
      <w:r>
        <w:rPr>
          <w:rFonts w:asciiTheme="minorEastAsia" w:hAnsiTheme="minorEastAsia"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Pr>
          <w:rFonts w:asciiTheme="minorEastAsia" w:hAnsiTheme="minorEastAsia" w:cs="Arial" w:hint="eastAsia"/>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（六）基金托管人根据有关法律法规的规定及《基金合同》的约定，对基金管理人投资流通受限证券进行监督。</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基金管理人投资流通受限证券，应事先根据中国证监会相关规定，明确基金投</w:t>
      </w:r>
      <w:r>
        <w:rPr>
          <w:rFonts w:asciiTheme="minorEastAsia" w:hAnsiTheme="minorEastAsia" w:cs="Arial" w:hint="eastAsia"/>
          <w:sz w:val="24"/>
        </w:rPr>
        <w:lastRenderedPageBreak/>
        <w:t>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Theme="minorEastAsia" w:hAnsiTheme="minorEastAsia" w:cs="Arial" w:hint="eastAsia"/>
          <w:sz w:val="24"/>
        </w:rPr>
        <w:t>券</w:t>
      </w:r>
      <w:proofErr w:type="gramEnd"/>
      <w:r>
        <w:rPr>
          <w:rFonts w:asciiTheme="minorEastAsia" w:hAnsiTheme="minorEastAsia" w:cs="Arial" w:hint="eastAsia"/>
          <w:sz w:val="24"/>
        </w:rPr>
        <w:t>等流通受限证券。本基金不投资有</w:t>
      </w:r>
      <w:proofErr w:type="gramStart"/>
      <w:r>
        <w:rPr>
          <w:rFonts w:asciiTheme="minorEastAsia" w:hAnsiTheme="minorEastAsia" w:cs="Arial" w:hint="eastAsia"/>
          <w:sz w:val="24"/>
        </w:rPr>
        <w:t>锁定期但锁定</w:t>
      </w:r>
      <w:proofErr w:type="gramEnd"/>
      <w:r>
        <w:rPr>
          <w:rFonts w:asciiTheme="minorEastAsia" w:hAnsiTheme="minorEastAsia" w:cs="Arial" w:hint="eastAsia"/>
          <w:sz w:val="24"/>
        </w:rPr>
        <w:t>期不明确的证券。</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本基金投资的流通受限证券应保证登记存管在本基金名下，基金管理人负责相关工作的落实和协调，并确保基金托管人能够正常查询。因基金管理</w:t>
      </w:r>
      <w:proofErr w:type="gramStart"/>
      <w:r>
        <w:rPr>
          <w:rFonts w:asciiTheme="minorEastAsia" w:hAnsiTheme="minorEastAsia" w:cs="Arial" w:hint="eastAsia"/>
          <w:sz w:val="24"/>
        </w:rPr>
        <w:t>人原因</w:t>
      </w:r>
      <w:proofErr w:type="gramEnd"/>
      <w:r>
        <w:rPr>
          <w:rFonts w:asciiTheme="minorEastAsia" w:hAnsiTheme="minorEastAsia" w:cs="Arial" w:hint="eastAsia"/>
          <w:sz w:val="24"/>
        </w:rPr>
        <w:t>产生的流通受限证券登记存管问题，造成基金托管人无法安全保管本基金资产的责任与损失，及因流通受限证券存管直接影响本基金安全的责任及损失，由基金管理人承担。</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本基金投资流通受限证券，不得预付任何形式的保证金，若有最新监管政策根据最新政策进行。</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Pr>
          <w:rFonts w:asciiTheme="minorEastAsia" w:hAnsiTheme="minorEastAsia" w:cs="Arial" w:hint="eastAsia"/>
          <w:sz w:val="24"/>
        </w:rPr>
        <w:t>人原因</w:t>
      </w:r>
      <w:proofErr w:type="gramEnd"/>
      <w:r>
        <w:rPr>
          <w:rFonts w:asciiTheme="minorEastAsia" w:hAnsiTheme="minorEastAsia" w:cs="Arial" w:hint="eastAsia"/>
          <w:sz w:val="24"/>
        </w:rPr>
        <w:t>导致本基金出现损失致使基金托管人承担连带赔偿责任的，基金管理人应赔偿基金托管人由此遭受的损失。</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3.本基金投资非公开发行股票，基金管理人应至少于投资前三个工作日向基</w:t>
      </w:r>
      <w:r>
        <w:rPr>
          <w:rFonts w:asciiTheme="minorEastAsia" w:hAnsiTheme="minorEastAsia" w:cs="Arial" w:hint="eastAsia"/>
          <w:sz w:val="24"/>
        </w:rPr>
        <w:lastRenderedPageBreak/>
        <w:t>金托管人提交有关书面资料，并保证向基金托管人提供的有关资料真实、准确、完整。有关资料如有调整，基金管理人应及时提供调整后的资料。上述书面资料包括但不限于：</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（1）中国证监会批准发行非公开发行股票的批准文件。</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（2）非公开发行股票有关发行数量、发行价格、锁定期等发行资料。</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（3）非公开发行股票发行人与中国证券登记结算有限责任公司或中央国债登记结算有限责任公司签订的证券登记及服务协议。</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（4）基金拟认购的数量、价格、总成本、账面价值。</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4.基金管理人应在本基金投资非公开发行股票后两个交易日内，在中国证监会规定媒介披露所投资非公开发行股票的名称、数量、总成本、账面价值，以及总成本和账面价值占基金资产净值的比例、锁定期等信息。</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本基金有关投资流通受限证券比例如违反有关限制规定，在合理期限内未能进行及时调整，基金管理人应在两个工作日内编制临时报告书，予以公告。</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5.基金托管人根据有关规定有权对基金管理人进行以下事项监督：</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（1）本基金投资流通受限证券时的法律法规遵守情况。</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（2）在基金投资流通受限证券管理工作方面有关制度、流动性风险处置预案的建立与完善情况。</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（3）有关比例限制的执行情况。</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（4）信息披露情况。</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6.相关法律法规对基金投资流通受限证券有新规定的，从其规定。</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（七）基金托管人根据有关法律法规的规定及《基金合同》的约定，对基金资产净值计算</w:t>
      </w:r>
      <w:r>
        <w:rPr>
          <w:rFonts w:asciiTheme="minorEastAsia" w:hAnsiTheme="minorEastAsia" w:cs="Times New Roman" w:hint="eastAsia"/>
          <w:sz w:val="24"/>
        </w:rPr>
        <w:t>、各类</w:t>
      </w:r>
      <w:r>
        <w:rPr>
          <w:rFonts w:asciiTheme="minorEastAsia" w:hAnsiTheme="minorEastAsia" w:cs="Times New Roman" w:hint="eastAsia"/>
          <w:sz w:val="24"/>
          <w:szCs w:val="24"/>
        </w:rPr>
        <w:t>基金份额净值计算</w:t>
      </w:r>
      <w:r>
        <w:rPr>
          <w:rFonts w:asciiTheme="minorEastAsia" w:hAnsiTheme="minorEastAsia" w:cs="Times New Roman" w:hint="eastAsia"/>
          <w:sz w:val="24"/>
        </w:rPr>
        <w:t>、应收资金到账、基金费用开支及收入确定、基金收益分配、相关信息披露、基金宣传推介材料中登载基金业绩表现数据等进行监督和核查。</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w:t>
      </w:r>
      <w:r>
        <w:rPr>
          <w:rFonts w:asciiTheme="minorEastAsia" w:hAnsiTheme="minorEastAsia" w:cs="Arial" w:hint="eastAsia"/>
          <w:sz w:val="24"/>
        </w:rPr>
        <w:lastRenderedPageBreak/>
        <w:t>通知事项进行复查，督促基金管理人改正。基金管理人对基金托管人通知的违规事项未能在限期内纠正的，基金托管人应报告中国证监会。</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（十）</w:t>
      </w:r>
      <w:proofErr w:type="gramStart"/>
      <w:r>
        <w:rPr>
          <w:rFonts w:asciiTheme="minorEastAsia" w:hAnsiTheme="minorEastAsia" w:cs="Arial" w:hint="eastAsia"/>
          <w:sz w:val="24"/>
        </w:rPr>
        <w:t>若基金</w:t>
      </w:r>
      <w:proofErr w:type="gramEnd"/>
      <w:r>
        <w:rPr>
          <w:rFonts w:asciiTheme="minorEastAsia" w:hAnsiTheme="minorEastAsia"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2F4F6D" w:rsidRDefault="002F4F6D">
      <w:pPr>
        <w:spacing w:line="360" w:lineRule="auto"/>
        <w:rPr>
          <w:rFonts w:asciiTheme="minorEastAsia" w:hAnsiTheme="minorEastAsia"/>
          <w:sz w:val="24"/>
        </w:rPr>
      </w:pPr>
    </w:p>
    <w:p w:rsidR="002F4F6D" w:rsidRDefault="007A5871">
      <w:pPr>
        <w:pStyle w:val="2"/>
        <w:spacing w:line="360" w:lineRule="auto"/>
        <w:jc w:val="center"/>
        <w:rPr>
          <w:rFonts w:asciiTheme="minorEastAsia" w:eastAsiaTheme="minorEastAsia" w:hAnsiTheme="minorEastAsia"/>
          <w:sz w:val="30"/>
        </w:rPr>
      </w:pPr>
      <w:bookmarkStart w:id="6" w:name="_Toc86726439"/>
      <w:bookmarkStart w:id="7" w:name="_Toc86225291"/>
      <w:bookmarkStart w:id="8" w:name="_Toc86727355"/>
      <w:bookmarkStart w:id="9" w:name="_Toc108512358"/>
      <w:bookmarkStart w:id="10" w:name="_Toc118212950"/>
      <w:bookmarkStart w:id="11" w:name="_Toc118774803"/>
      <w:bookmarkStart w:id="12" w:name="_Toc86649722"/>
      <w:bookmarkStart w:id="13" w:name="_Toc110761796"/>
      <w:bookmarkStart w:id="14" w:name="_Toc86737929"/>
      <w:bookmarkStart w:id="15" w:name="_Toc118972648"/>
      <w:bookmarkStart w:id="16" w:name="_Toc120435783"/>
      <w:bookmarkStart w:id="17" w:name="_Toc124325888"/>
      <w:bookmarkStart w:id="18" w:name="_Toc89163368"/>
      <w:bookmarkStart w:id="19" w:name="_Toc110830492"/>
      <w:bookmarkStart w:id="20" w:name="_Toc86223242"/>
      <w:bookmarkStart w:id="21" w:name="_Toc119402710"/>
      <w:bookmarkStart w:id="22" w:name="_Toc110765660"/>
      <w:r>
        <w:rPr>
          <w:rFonts w:asciiTheme="minorEastAsia" w:eastAsiaTheme="minorEastAsia" w:hAnsiTheme="minorEastAsia"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（一）基金管理人对基金托管人履行托管职责情况进行核查，核查事项包括基金托管人安全保管基金财产、开设基金财产的资金账户和证券账户、复核基金管理人计算的</w:t>
      </w:r>
      <w:r>
        <w:rPr>
          <w:rFonts w:asciiTheme="minorEastAsia" w:hAnsiTheme="minorEastAsia" w:cs="Arial" w:hint="eastAsia"/>
          <w:sz w:val="24"/>
          <w:szCs w:val="24"/>
        </w:rPr>
        <w:t>基金资产净值</w:t>
      </w:r>
      <w:r>
        <w:rPr>
          <w:rFonts w:asciiTheme="minorEastAsia" w:hAnsiTheme="minorEastAsia" w:cs="Arial" w:hint="eastAsia"/>
          <w:sz w:val="24"/>
        </w:rPr>
        <w:t>和各类基金份额净值、根据基金管理人指令办理清算交收、相关信息披露和监督基金投资运作等行为。</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asciiTheme="minorEastAsia" w:hAnsiTheme="minorEastAsia" w:cs="Arial" w:hint="eastAsia"/>
          <w:sz w:val="24"/>
        </w:rPr>
        <w:t>供基金</w:t>
      </w:r>
      <w:proofErr w:type="gramEnd"/>
      <w:r>
        <w:rPr>
          <w:rFonts w:asciiTheme="minorEastAsia" w:hAnsiTheme="minorEastAsia" w:cs="Arial" w:hint="eastAsia"/>
          <w:sz w:val="24"/>
        </w:rPr>
        <w:t>管</w:t>
      </w:r>
      <w:r>
        <w:rPr>
          <w:rFonts w:asciiTheme="minorEastAsia" w:hAnsiTheme="minorEastAsia" w:cs="Arial" w:hint="eastAsia"/>
          <w:sz w:val="24"/>
        </w:rPr>
        <w:lastRenderedPageBreak/>
        <w:t>理人核查托管财产的完整性和真实性，在规定时间内答复基金管理人并改正。</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2F4F6D" w:rsidRDefault="002F4F6D">
      <w:pPr>
        <w:spacing w:line="360" w:lineRule="auto"/>
        <w:rPr>
          <w:rFonts w:asciiTheme="minorEastAsia" w:hAnsiTheme="minorEastAsia"/>
          <w:sz w:val="24"/>
        </w:rPr>
      </w:pPr>
    </w:p>
    <w:p w:rsidR="002F4F6D" w:rsidRDefault="007A5871">
      <w:pPr>
        <w:pStyle w:val="2"/>
        <w:spacing w:line="360" w:lineRule="auto"/>
        <w:jc w:val="center"/>
        <w:rPr>
          <w:rFonts w:asciiTheme="minorEastAsia" w:eastAsiaTheme="minorEastAsia" w:hAnsiTheme="minorEastAsia"/>
          <w:sz w:val="30"/>
        </w:rPr>
      </w:pPr>
      <w:bookmarkStart w:id="23" w:name="_Toc89163369"/>
      <w:bookmarkStart w:id="24" w:name="_Toc110761797"/>
      <w:bookmarkStart w:id="25" w:name="_Toc110830493"/>
      <w:bookmarkStart w:id="26" w:name="_Toc86737930"/>
      <w:bookmarkStart w:id="27" w:name="_Toc118774804"/>
      <w:bookmarkStart w:id="28" w:name="_Toc84234435"/>
      <w:bookmarkStart w:id="29" w:name="_Toc120435784"/>
      <w:bookmarkStart w:id="30" w:name="_Toc86225292"/>
      <w:bookmarkStart w:id="31" w:name="_Toc118972649"/>
      <w:bookmarkStart w:id="32" w:name="_Toc108512359"/>
      <w:bookmarkStart w:id="33" w:name="_Toc110765661"/>
      <w:bookmarkStart w:id="34" w:name="_Toc86204789"/>
      <w:bookmarkStart w:id="35" w:name="_Toc84133786"/>
      <w:bookmarkStart w:id="36" w:name="_Toc86223243"/>
      <w:bookmarkStart w:id="37" w:name="_Toc86726440"/>
      <w:bookmarkStart w:id="38" w:name="_Toc84234388"/>
      <w:bookmarkStart w:id="39" w:name="_Toc86727356"/>
      <w:bookmarkStart w:id="40" w:name="_Toc86649723"/>
      <w:bookmarkStart w:id="41" w:name="_Toc119402711"/>
      <w:bookmarkStart w:id="42" w:name="_Toc124325889"/>
      <w:bookmarkStart w:id="43" w:name="_Toc118212951"/>
      <w:r>
        <w:rPr>
          <w:rFonts w:asciiTheme="minorEastAsia" w:eastAsiaTheme="minorEastAsia" w:hAnsiTheme="minorEastAsia"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（一）基金财产保管的原则</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1.基金财产应独立于基金管理人、基金托管人的固有财产。</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2.基金托管人应安全保管基金财产。</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3.基金托管人按照规定开设基金财产的资金账户和证券账户。</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4.基金托管人对所托管的不同基金财产分别设置账户，确保基金财产的完整与独立。</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5.基金托管人按照《基金合同》和本协议的约定保管基金财产，如有特殊情况双方可另行协商解决。基金</w:t>
      </w:r>
      <w:r>
        <w:rPr>
          <w:rFonts w:asciiTheme="minorEastAsia" w:hAnsiTheme="minorEastAsia" w:hint="eastAsia"/>
          <w:sz w:val="24"/>
        </w:rPr>
        <w:t>托管人未经基金管理人的指令，不得自行运用、处分、分配本基金的任何资产（不包含基金托管人依据中国证券登记结算有限责任公司结算数据完成场内交易交收、托管资产开户银行或交易/登记结算机构扣</w:t>
      </w:r>
      <w:proofErr w:type="gramStart"/>
      <w:r>
        <w:rPr>
          <w:rFonts w:asciiTheme="minorEastAsia" w:hAnsiTheme="minorEastAsia" w:hint="eastAsia"/>
          <w:sz w:val="24"/>
        </w:rPr>
        <w:t>收交易</w:t>
      </w:r>
      <w:proofErr w:type="gramEnd"/>
      <w:r>
        <w:rPr>
          <w:rFonts w:asciiTheme="minorEastAsia" w:hAnsiTheme="minorEastAsia" w:hint="eastAsia"/>
          <w:sz w:val="24"/>
        </w:rPr>
        <w:t>费、结算费和账户维护费等费用）。</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7.除依据法律法规和《基金合同》的规定外，基金托管人不得委托第三人托管基金财产。</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（二）基金募集期间及募集资金的验资</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1.基金募集期间募集的资金应存于基金管理人在基金托管人的营业机构开立的“基金募集专户”。该账户由基金管理人开立并管理。</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lastRenderedPageBreak/>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符合《证券法》规定的会计师事务所进行验资，出具验资报告。出具的验资报告由参加验资的2名或2名以上中国注册会计师签字方为有效。</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3.</w:t>
      </w:r>
      <w:proofErr w:type="gramStart"/>
      <w:r>
        <w:rPr>
          <w:rFonts w:asciiTheme="minorEastAsia" w:hAnsiTheme="minorEastAsia" w:cs="Arial" w:hint="eastAsia"/>
          <w:sz w:val="24"/>
        </w:rPr>
        <w:t>若基金</w:t>
      </w:r>
      <w:proofErr w:type="gramEnd"/>
      <w:r>
        <w:rPr>
          <w:rFonts w:asciiTheme="minorEastAsia" w:hAnsiTheme="minorEastAsia" w:cs="Arial" w:hint="eastAsia"/>
          <w:sz w:val="24"/>
        </w:rPr>
        <w:t>募集期限届满，未能达到《基金合同》生效的条件，由基金管理人按规定办理退款等事宜。</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（三）基金银行账户的开立和管理</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1.基金托管人可以基金的名义在其营业机构开立基金的银行账户，并根据基金管理人合法合</w:t>
      </w:r>
      <w:proofErr w:type="gramStart"/>
      <w:r>
        <w:rPr>
          <w:rFonts w:asciiTheme="minorEastAsia" w:hAnsiTheme="minorEastAsia" w:cs="Arial" w:hint="eastAsia"/>
          <w:sz w:val="24"/>
        </w:rPr>
        <w:t>规</w:t>
      </w:r>
      <w:proofErr w:type="gramEnd"/>
      <w:r>
        <w:rPr>
          <w:rFonts w:asciiTheme="minorEastAsia" w:hAnsiTheme="minorEastAsia" w:cs="Arial" w:hint="eastAsia"/>
          <w:sz w:val="24"/>
        </w:rPr>
        <w:t>的指令办理资金收付。本基金的银行预留印鉴由基金托管人保管和使用。</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3.基金银行账户的开立和管理应符合银行业监督管理机构的有关规定。</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4.在符合法律法规规定的条件下，基金托管人可以通过基金托管人专用账户办理基金资产的支付。</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5.管理人应于托管产品到期后及时完成收益兑付、费用结清及其他应收应付款项资金划转，在委托资产/投资者</w:t>
      </w:r>
      <w:proofErr w:type="gramStart"/>
      <w:r>
        <w:rPr>
          <w:rFonts w:asciiTheme="minorEastAsia" w:hAnsiTheme="minorEastAsia" w:cs="Arial" w:hint="eastAsia"/>
          <w:sz w:val="24"/>
        </w:rPr>
        <w:t>赎回款</w:t>
      </w:r>
      <w:proofErr w:type="gramEnd"/>
      <w:r>
        <w:rPr>
          <w:rFonts w:asciiTheme="minorEastAsia" w:hAnsiTheme="minorEastAsia" w:cs="Arial" w:hint="eastAsia"/>
          <w:sz w:val="24"/>
        </w:rPr>
        <w:t>全部划出后的10个工作日内向托管人发出销户申请。</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（四）基金证券账户和结算备付金账户的开立和管理</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1.基金托管人在中国证券登记结算有限责任公司为基金开立基金托管人与基金联名的证券账户。</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3.基金证券账户的开立和证券账户卡的保管由基金托管人负责，账户资产的管理和运用由基金管理人负责。</w:t>
      </w:r>
    </w:p>
    <w:p w:rsidR="002F4F6D" w:rsidRDefault="007A5871">
      <w:pPr>
        <w:adjustRightInd w:val="0"/>
        <w:snapToGrid w:val="0"/>
        <w:spacing w:line="360" w:lineRule="auto"/>
        <w:ind w:firstLineChars="200" w:firstLine="480"/>
        <w:rPr>
          <w:rFonts w:asciiTheme="minorEastAsia" w:hAnsiTheme="minorEastAsia"/>
          <w:sz w:val="24"/>
        </w:rPr>
      </w:pPr>
      <w:r>
        <w:rPr>
          <w:rFonts w:asciiTheme="minorEastAsia" w:hAnsiTheme="minorEastAsia" w:cs="Arial" w:hint="eastAsia"/>
          <w:sz w:val="24"/>
        </w:rPr>
        <w:t>证券账户开户费</w:t>
      </w:r>
      <w:r>
        <w:rPr>
          <w:rFonts w:asciiTheme="minorEastAsia" w:hAnsiTheme="minorEastAsia"/>
          <w:sz w:val="24"/>
        </w:rPr>
        <w:t>由</w:t>
      </w:r>
      <w:r>
        <w:rPr>
          <w:rFonts w:asciiTheme="minorEastAsia" w:hAnsiTheme="minorEastAsia" w:hint="eastAsia"/>
          <w:sz w:val="24"/>
        </w:rPr>
        <w:t>基金管理人先行垫付</w:t>
      </w:r>
      <w:r>
        <w:rPr>
          <w:rFonts w:asciiTheme="minorEastAsia" w:hAnsiTheme="minorEastAsia"/>
          <w:sz w:val="24"/>
        </w:rPr>
        <w:t>,</w:t>
      </w:r>
      <w:r>
        <w:rPr>
          <w:rFonts w:asciiTheme="minorEastAsia" w:hAnsiTheme="minorEastAsia" w:hint="eastAsia"/>
          <w:sz w:val="24"/>
        </w:rPr>
        <w:t>待托管产品启始运营后</w:t>
      </w:r>
      <w:r>
        <w:rPr>
          <w:rFonts w:asciiTheme="minorEastAsia" w:hAnsiTheme="minorEastAsia"/>
          <w:sz w:val="24"/>
        </w:rPr>
        <w:t>,</w:t>
      </w:r>
      <w:r>
        <w:rPr>
          <w:rFonts w:asciiTheme="minorEastAsia" w:hAnsiTheme="minorEastAsia" w:hint="eastAsia"/>
          <w:sz w:val="24"/>
        </w:rPr>
        <w:t>基金</w:t>
      </w:r>
      <w:r>
        <w:rPr>
          <w:rFonts w:asciiTheme="minorEastAsia" w:hAnsiTheme="minorEastAsia"/>
          <w:sz w:val="24"/>
        </w:rPr>
        <w:t>管理人可向</w:t>
      </w:r>
      <w:r>
        <w:rPr>
          <w:rFonts w:asciiTheme="minorEastAsia" w:hAnsiTheme="minorEastAsia" w:hint="eastAsia"/>
          <w:sz w:val="24"/>
        </w:rPr>
        <w:t>基金</w:t>
      </w:r>
      <w:r>
        <w:rPr>
          <w:rFonts w:asciiTheme="minorEastAsia" w:hAnsiTheme="minorEastAsia"/>
          <w:sz w:val="24"/>
        </w:rPr>
        <w:t>托管人发送划款指令,将代垫开户费从本</w:t>
      </w:r>
      <w:r>
        <w:rPr>
          <w:rFonts w:asciiTheme="minorEastAsia" w:hAnsiTheme="minorEastAsia" w:hint="eastAsia"/>
          <w:sz w:val="24"/>
        </w:rPr>
        <w:t>基金托管资金</w:t>
      </w:r>
      <w:r>
        <w:rPr>
          <w:rFonts w:asciiTheme="minorEastAsia" w:hAnsiTheme="minorEastAsia"/>
          <w:sz w:val="24"/>
        </w:rPr>
        <w:t>账户中</w:t>
      </w:r>
      <w:r>
        <w:rPr>
          <w:rFonts w:asciiTheme="minorEastAsia" w:hAnsiTheme="minorEastAsia" w:hint="eastAsia"/>
          <w:sz w:val="24"/>
        </w:rPr>
        <w:t>扣还基金</w:t>
      </w:r>
      <w:r>
        <w:rPr>
          <w:rFonts w:asciiTheme="minorEastAsia" w:hAnsiTheme="minorEastAsia" w:hint="eastAsia"/>
          <w:sz w:val="24"/>
        </w:rPr>
        <w:lastRenderedPageBreak/>
        <w:t>管理人。</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Pr>
          <w:rFonts w:asciiTheme="minorEastAsia" w:hAnsiTheme="minorEastAsia" w:cs="Arial" w:hint="eastAsia"/>
          <w:sz w:val="24"/>
        </w:rPr>
        <w:t>保证金、交</w:t>
      </w:r>
      <w:proofErr w:type="gramStart"/>
      <w:r>
        <w:rPr>
          <w:rFonts w:asciiTheme="minorEastAsia" w:hAnsiTheme="minorEastAsia" w:cs="Arial" w:hint="eastAsia"/>
          <w:sz w:val="24"/>
        </w:rPr>
        <w:t>收资金</w:t>
      </w:r>
      <w:proofErr w:type="gramEnd"/>
      <w:r>
        <w:rPr>
          <w:rFonts w:asciiTheme="minorEastAsia" w:hAnsiTheme="minorEastAsia" w:cs="Arial" w:hint="eastAsia"/>
          <w:sz w:val="24"/>
        </w:rPr>
        <w:t>等的收取按照中国证券登记结算有限责任公司的规定以及基金管理人与基金托管人签署的《托管银行证券资金结算协议》执行。</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sz w:val="24"/>
        </w:rPr>
        <w:t>5</w:t>
      </w:r>
      <w:r>
        <w:rPr>
          <w:rFonts w:asciiTheme="minorEastAsia" w:hAnsiTheme="minorEastAsia" w:cs="Arial" w:hint="eastAsia"/>
          <w:sz w:val="24"/>
        </w:rPr>
        <w:t>.</w:t>
      </w:r>
      <w:r>
        <w:rPr>
          <w:rFonts w:asciiTheme="minorEastAsia" w:hAnsiTheme="minorEastAsia" w:cs="Arial"/>
          <w:sz w:val="24"/>
        </w:rPr>
        <w:t>账户注销时，</w:t>
      </w:r>
      <w:r>
        <w:rPr>
          <w:rFonts w:asciiTheme="minorEastAsia" w:hAnsiTheme="minorEastAsia" w:cs="Arial" w:hint="eastAsia"/>
          <w:sz w:val="24"/>
        </w:rPr>
        <w:t>在遵守中国证券登记结算公司的相关规定下，由管理人和托管人协商确认主要办理人。账户注销期间，主要办理人如需另一方提供配合的，另一方应予以配合。</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6.若中国证监会或其他监管机构在本托管协议订立日之后允许基金从事其他投资品种的投资业务，涉及相关账户的开立、使用的，若无相关规定，</w:t>
      </w:r>
      <w:proofErr w:type="gramStart"/>
      <w:r>
        <w:rPr>
          <w:rFonts w:asciiTheme="minorEastAsia" w:hAnsiTheme="minorEastAsia" w:cs="Arial" w:hint="eastAsia"/>
          <w:sz w:val="24"/>
        </w:rPr>
        <w:t>则基金</w:t>
      </w:r>
      <w:proofErr w:type="gramEnd"/>
      <w:r>
        <w:rPr>
          <w:rFonts w:asciiTheme="minorEastAsia" w:hAnsiTheme="minorEastAsia" w:cs="Arial" w:hint="eastAsia"/>
          <w:sz w:val="24"/>
        </w:rPr>
        <w:t>托管人比照上述关于账户开立、使用的规定执行。</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（五）债券托管专户的开设和管理</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（六）其他账户的开立和管理</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1.</w:t>
      </w:r>
      <w:r>
        <w:rPr>
          <w:rFonts w:asciiTheme="minorEastAsia" w:hAnsiTheme="minorEastAsia" w:hint="eastAsia"/>
          <w:szCs w:val="21"/>
        </w:rPr>
        <w:t xml:space="preserve"> </w:t>
      </w:r>
      <w:r>
        <w:rPr>
          <w:rFonts w:asciiTheme="minorEastAsia" w:hAnsiTheme="minorEastAsia"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2.法律法规等有关规定对相关账户的开立和管理另有规定的，从其规定办理。</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（七）基金财产投资的有关有价凭证等的保管</w:t>
      </w:r>
    </w:p>
    <w:p w:rsidR="002F4F6D" w:rsidRDefault="007A5871">
      <w:pPr>
        <w:adjustRightInd w:val="0"/>
        <w:snapToGrid w:val="0"/>
        <w:spacing w:line="360" w:lineRule="auto"/>
        <w:ind w:firstLineChars="200" w:firstLine="480"/>
        <w:rPr>
          <w:rFonts w:asciiTheme="minorEastAsia" w:hAnsiTheme="minorEastAsia" w:cs="Arial"/>
        </w:rPr>
      </w:pPr>
      <w:r>
        <w:rPr>
          <w:rFonts w:asciiTheme="minorEastAsia" w:hAnsiTheme="minorEastAsia" w:cs="Arial" w:hint="eastAsia"/>
          <w:sz w:val="24"/>
        </w:rPr>
        <w:t>基金财产投资的有关实物证券、银行</w:t>
      </w:r>
      <w:r>
        <w:rPr>
          <w:rFonts w:asciiTheme="minorEastAsia" w:hAnsiTheme="minorEastAsia" w:hint="eastAsia"/>
          <w:sz w:val="24"/>
        </w:rPr>
        <w:t>存款开户证实书</w:t>
      </w:r>
      <w:r>
        <w:rPr>
          <w:rFonts w:asciiTheme="minorEastAsia" w:hAnsiTheme="minorEastAsia" w:cs="Arial" w:hint="eastAsia"/>
          <w:sz w:val="24"/>
        </w:rPr>
        <w:t>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w:t>
      </w:r>
      <w:r>
        <w:rPr>
          <w:rFonts w:asciiTheme="minorEastAsia" w:hAnsiTheme="minorEastAsia" w:cs="Arial" w:hint="eastAsia"/>
          <w:sz w:val="24"/>
        </w:rPr>
        <w:lastRenderedPageBreak/>
        <w:t>方约定办理。基金托管人对由基金托管人以外机构实际有效控制或保管的资产不承担任何责任。</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（八）与基金财产有关的重大合同的保管</w:t>
      </w:r>
    </w:p>
    <w:p w:rsidR="002F4F6D" w:rsidRDefault="007A5871">
      <w:pPr>
        <w:adjustRightInd w:val="0"/>
        <w:snapToGrid w:val="0"/>
        <w:spacing w:line="360" w:lineRule="auto"/>
        <w:ind w:firstLineChars="200" w:firstLine="480"/>
        <w:rPr>
          <w:rFonts w:asciiTheme="minorEastAsia" w:hAnsiTheme="minorEastAsia"/>
          <w:sz w:val="30"/>
          <w:szCs w:val="30"/>
        </w:rPr>
      </w:pPr>
      <w:r>
        <w:rPr>
          <w:rFonts w:asciiTheme="minorEastAsia" w:hAnsiTheme="minorEastAsia"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三十个工作日内将正本送达基金托管人处。重大合同的保管期限不得低于法律法规规定的最低期限。</w:t>
      </w:r>
    </w:p>
    <w:p w:rsidR="002F4F6D" w:rsidRDefault="002F4F6D">
      <w:pPr>
        <w:spacing w:line="360" w:lineRule="auto"/>
        <w:rPr>
          <w:rFonts w:asciiTheme="minorEastAsia" w:hAnsiTheme="minorEastAsia"/>
          <w:sz w:val="24"/>
        </w:rPr>
      </w:pPr>
    </w:p>
    <w:p w:rsidR="002F4F6D" w:rsidRDefault="007A5871">
      <w:pPr>
        <w:pStyle w:val="2"/>
        <w:spacing w:line="360" w:lineRule="auto"/>
        <w:jc w:val="center"/>
        <w:rPr>
          <w:rFonts w:asciiTheme="minorEastAsia" w:eastAsiaTheme="minorEastAsia" w:hAnsiTheme="minorEastAsia"/>
          <w:sz w:val="30"/>
        </w:rPr>
      </w:pPr>
      <w:bookmarkStart w:id="44" w:name="_Toc118774805"/>
      <w:bookmarkStart w:id="45" w:name="_Toc84234389"/>
      <w:bookmarkStart w:id="46" w:name="_Toc110830494"/>
      <w:bookmarkStart w:id="47" w:name="_Toc110761798"/>
      <w:bookmarkStart w:id="48" w:name="_Toc110765662"/>
      <w:bookmarkStart w:id="49" w:name="_Toc86649724"/>
      <w:bookmarkStart w:id="50" w:name="_Toc86726441"/>
      <w:bookmarkStart w:id="51" w:name="_Toc84234436"/>
      <w:bookmarkStart w:id="52" w:name="_Toc84133787"/>
      <w:bookmarkStart w:id="53" w:name="_Toc124325890"/>
      <w:bookmarkStart w:id="54" w:name="_Toc86223244"/>
      <w:bookmarkStart w:id="55" w:name="_Toc86727357"/>
      <w:bookmarkStart w:id="56" w:name="_Toc118212952"/>
      <w:bookmarkStart w:id="57" w:name="_Toc118972650"/>
      <w:bookmarkStart w:id="58" w:name="_Toc89163370"/>
      <w:bookmarkStart w:id="59" w:name="_Toc86204790"/>
      <w:bookmarkStart w:id="60" w:name="_Toc86225293"/>
      <w:bookmarkStart w:id="61" w:name="_Toc120435785"/>
      <w:bookmarkStart w:id="62" w:name="_Toc86737931"/>
      <w:bookmarkStart w:id="63" w:name="_Toc108512360"/>
      <w:bookmarkStart w:id="64" w:name="_Toc119402712"/>
      <w:r>
        <w:rPr>
          <w:rFonts w:asciiTheme="minorEastAsia" w:eastAsiaTheme="minorEastAsia" w:hAnsiTheme="minorEastAsia"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基金管理人在运用基金财产时向基金托管人发送资金划拨及其他款项付款指令，基金托管人执行基金管理人的指令、办理基金名下的资金往来等有关事项。</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（一）基金管理人对发送指令人员的书面授权</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1.基金管理人应指定专人向基金托管人发送指令。</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2.基金管理人应向基金托管人提供书面授权文件，内容包括被授权人名单、预留印鉴及被授权人签字样本，授权文件应注明被授权人相应的权限。</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4.基金管理人和基金托管人对授权文件负有保密义务，其内容不得向被授权人及相关操作人员以外的任何人泄露。但法律法规规定或有权机关要求的除外。</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（二）指令的内容</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1.指令包括付款指令以及其他资金划拨指令等。</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2.基金管理人发给基金托管人的指令应写明款项事由、支付时间、到账时间、</w:t>
      </w:r>
      <w:r>
        <w:rPr>
          <w:rFonts w:asciiTheme="minorEastAsia" w:hAnsiTheme="minorEastAsia" w:cs="Arial" w:hint="eastAsia"/>
          <w:sz w:val="24"/>
        </w:rPr>
        <w:lastRenderedPageBreak/>
        <w:t>金额、账户等，加盖预留印鉴并由被授权人签字。</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（三）指令的发送、确认及执行的时间和程序</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1.指令的发送</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基金管理人发送指令应采用传真方式或双方协商一致的其他方式。</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交易指令发送人员无权发送的指令，或超权限发送的指令，基金管理人不承担责任，授权已更改但未经基金托管人确认的情况除外。</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指令发出后，基金管理人应及时以电话方式向基金托管人确认。</w:t>
      </w:r>
    </w:p>
    <w:p w:rsidR="002F4F6D" w:rsidRDefault="007A5871">
      <w:pPr>
        <w:adjustRightInd w:val="0"/>
        <w:snapToGrid w:val="0"/>
        <w:spacing w:line="360" w:lineRule="auto"/>
        <w:ind w:firstLine="480"/>
        <w:rPr>
          <w:rFonts w:asciiTheme="minorEastAsia" w:hAnsiTheme="minorEastAsia"/>
          <w:sz w:val="24"/>
        </w:rPr>
      </w:pPr>
      <w:r>
        <w:rPr>
          <w:rFonts w:asciiTheme="minorEastAsia" w:hAnsiTheme="minorEastAsia"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2.指令的确认</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Pr>
          <w:rFonts w:asciiTheme="minorEastAsia" w:hAnsiTheme="minorEastAsia" w:cs="Arial" w:hint="eastAsia"/>
          <w:kern w:val="0"/>
          <w:sz w:val="24"/>
        </w:rPr>
        <w:t>指令的要素是否齐全，并将指令所载签字和印鉴与授权通知进行表面真实性及权限范围核对，复核无误后应在规定期限内执行，不得延误。</w:t>
      </w:r>
      <w:r>
        <w:rPr>
          <w:rFonts w:asciiTheme="minorEastAsia" w:hAnsiTheme="minorEastAsia" w:cs="Arial" w:hint="eastAsia"/>
          <w:sz w:val="24"/>
        </w:rPr>
        <w:t>如有疑问必须及时通知基金管理人。</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3.指令的时间和执行</w:t>
      </w:r>
    </w:p>
    <w:p w:rsidR="002F4F6D" w:rsidRDefault="007A5871">
      <w:pPr>
        <w:pStyle w:val="a8"/>
        <w:spacing w:line="360" w:lineRule="auto"/>
        <w:ind w:firstLineChars="0"/>
        <w:rPr>
          <w:rFonts w:asciiTheme="minorEastAsia" w:eastAsiaTheme="minorEastAsia" w:hAnsiTheme="minorEastAsia" w:cs="Arial"/>
          <w:szCs w:val="24"/>
          <w:shd w:val="pct10" w:color="auto" w:fill="FFFFFF"/>
        </w:rPr>
      </w:pPr>
      <w:r>
        <w:rPr>
          <w:rFonts w:asciiTheme="minorEastAsia" w:eastAsiaTheme="minorEastAsia" w:hAnsiTheme="minorEastAsia"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确保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Pr>
          <w:rFonts w:asciiTheme="minorEastAsia" w:eastAsiaTheme="minorEastAsia" w:hAnsiTheme="minorEastAsia" w:cs="Arial" w:hint="eastAsia"/>
          <w:szCs w:val="24"/>
        </w:rPr>
        <w:t>对于中国证券登记结算有限责任公司实行T+0非担保交收的业务，基金管理人应在交易日14：00</w:t>
      </w:r>
      <w:r>
        <w:rPr>
          <w:rFonts w:asciiTheme="minorEastAsia" w:eastAsiaTheme="minorEastAsia" w:hAnsiTheme="minorEastAsia" w:cs="Arial" w:hint="eastAsia"/>
        </w:rPr>
        <w:t>前</w:t>
      </w:r>
      <w:r>
        <w:rPr>
          <w:rFonts w:asciiTheme="minorEastAsia" w:eastAsiaTheme="minorEastAsia" w:hAnsiTheme="minorEastAsia" w:cs="Arial" w:hint="eastAsia"/>
          <w:szCs w:val="24"/>
        </w:rPr>
        <w:t>将划款指令发送至托管人。因</w:t>
      </w:r>
      <w:r>
        <w:rPr>
          <w:rFonts w:asciiTheme="minorEastAsia" w:eastAsiaTheme="minorEastAsia" w:hAnsiTheme="minorEastAsia" w:cs="Arial" w:hint="eastAsia"/>
          <w:szCs w:val="24"/>
        </w:rPr>
        <w:lastRenderedPageBreak/>
        <w:t>基金管理人指令传输不及时，致使资金未能及时划入中登公司所造成的损失由基金管理人承担，包括赔偿在该市场引起其他托管客户交易失败、赔偿因占用</w:t>
      </w:r>
      <w:r>
        <w:rPr>
          <w:rFonts w:asciiTheme="minorEastAsia" w:eastAsiaTheme="minorEastAsia" w:hAnsiTheme="minorEastAsia" w:cs="Arial" w:hint="eastAsia"/>
        </w:rPr>
        <w:t>结算参与人</w:t>
      </w:r>
      <w:r>
        <w:rPr>
          <w:rFonts w:asciiTheme="minorEastAsia" w:eastAsiaTheme="minorEastAsia" w:hAnsiTheme="minorEastAsia" w:cs="Arial" w:hint="eastAsia"/>
          <w:szCs w:val="24"/>
        </w:rPr>
        <w:t>最低备付金带来的利息损失</w:t>
      </w:r>
      <w:r>
        <w:rPr>
          <w:rFonts w:asciiTheme="minorEastAsia" w:eastAsiaTheme="minorEastAsia" w:hAnsiTheme="minorEastAsia" w:cs="Arial" w:hint="eastAsia"/>
        </w:rPr>
        <w:t>。</w:t>
      </w:r>
      <w:r>
        <w:rPr>
          <w:rFonts w:asciiTheme="minorEastAsia" w:eastAsiaTheme="minorEastAsia" w:hAnsiTheme="minorEastAsia" w:cs="Arial" w:hint="eastAsia"/>
          <w:szCs w:val="24"/>
        </w:rPr>
        <w:t>基金管理人应确保基金托管人在执行指令时，基金资金账户有足够的资金余额，</w:t>
      </w:r>
      <w:r>
        <w:rPr>
          <w:rFonts w:asciiTheme="minorEastAsia" w:eastAsiaTheme="minorEastAsia" w:hAnsiTheme="minorEastAsia" w:cs="Arial" w:hint="eastAsia"/>
        </w:rPr>
        <w:t>在基金资金头寸充足的情况下，基金托管人对基金管理人符合法律法规、《基金合同》、本协议的指令不得拖延或拒绝执行。</w:t>
      </w:r>
    </w:p>
    <w:p w:rsidR="002F4F6D" w:rsidRDefault="007A5871">
      <w:pPr>
        <w:pStyle w:val="a8"/>
        <w:spacing w:line="360" w:lineRule="auto"/>
        <w:ind w:firstLineChars="0"/>
        <w:rPr>
          <w:rFonts w:asciiTheme="minorEastAsia" w:eastAsiaTheme="minorEastAsia" w:hAnsiTheme="minorEastAsia" w:cs="Arial"/>
        </w:rPr>
      </w:pPr>
      <w:r>
        <w:rPr>
          <w:rFonts w:asciiTheme="minorEastAsia" w:eastAsiaTheme="minorEastAsia" w:hAnsiTheme="minorEastAsia" w:cs="Arial" w:hint="eastAsia"/>
        </w:rPr>
        <w:t>（四）基金管理人发送错误指令的情形和处理程序</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基金管理人发送错误指令的情形包括指令违反法律法规和《基金合同》，指令发送人员无权或超越权限发送指令。</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基金托管人在履行监督职能时，发现基金管理人的指令错误时，有权拒绝执行，并及时通知基金管理人改正。如需撤销指令，基金管理人应出具书面说明，并加盖业务用章。</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（五）基金托管人依照法律法规暂缓、拒绝执行指令的情形和处理程序</w:t>
      </w:r>
    </w:p>
    <w:p w:rsidR="002F4F6D" w:rsidRDefault="007A5871">
      <w:pPr>
        <w:adjustRightInd w:val="0"/>
        <w:snapToGrid w:val="0"/>
        <w:spacing w:line="360" w:lineRule="auto"/>
        <w:ind w:firstLine="480"/>
        <w:rPr>
          <w:rFonts w:asciiTheme="minorEastAsia" w:hAnsiTheme="minorEastAsia" w:cs="Arial"/>
          <w:sz w:val="24"/>
        </w:rPr>
      </w:pPr>
      <w:proofErr w:type="gramStart"/>
      <w:r>
        <w:rPr>
          <w:rFonts w:asciiTheme="minorEastAsia" w:hAnsiTheme="minorEastAsia" w:cs="Arial" w:hint="eastAsia"/>
          <w:sz w:val="24"/>
        </w:rPr>
        <w:t>若基金</w:t>
      </w:r>
      <w:proofErr w:type="gramEnd"/>
      <w:r>
        <w:rPr>
          <w:rFonts w:asciiTheme="minorEastAsia" w:hAnsiTheme="minorEastAsia" w:cs="Arial" w:hint="eastAsia"/>
          <w:sz w:val="24"/>
        </w:rPr>
        <w:t>托管人发现基金管理人的指令违反法律法规，或者违反《基金合同》约定的，应当拒绝执行，立即通知基金管理人。</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（六）基金托管人未按照基金管理人指令执行的处理方法</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基金托管人由于过错，未按照基金管理人发送的指令执行并对基金财产或投资人造成的直接损失，由基金托管人</w:t>
      </w:r>
      <w:r>
        <w:rPr>
          <w:rFonts w:asciiTheme="minorEastAsia" w:hAnsiTheme="minorEastAsia" w:hint="eastAsia"/>
          <w:sz w:val="24"/>
        </w:rPr>
        <w:t>赔偿由此造成的直接损失。</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（七）更换被授权人员的程序</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Pr>
          <w:rFonts w:asciiTheme="minorEastAsia" w:hAnsiTheme="minorEastAsia" w:cs="Arial" w:hint="eastAsia"/>
          <w:sz w:val="24"/>
        </w:rPr>
        <w:t>件内容</w:t>
      </w:r>
      <w:proofErr w:type="gramEnd"/>
      <w:r>
        <w:rPr>
          <w:rFonts w:asciiTheme="minorEastAsia" w:hAnsiTheme="minorEastAsia" w:cs="Arial" w:hint="eastAsia"/>
          <w:sz w:val="24"/>
        </w:rPr>
        <w:t>执行有关业务，如果新的授权文件正本与传真</w:t>
      </w:r>
      <w:proofErr w:type="gramStart"/>
      <w:r>
        <w:rPr>
          <w:rFonts w:asciiTheme="minorEastAsia" w:hAnsiTheme="minorEastAsia" w:cs="Arial" w:hint="eastAsia"/>
          <w:sz w:val="24"/>
        </w:rPr>
        <w:t>件内容</w:t>
      </w:r>
      <w:proofErr w:type="gramEnd"/>
      <w:r>
        <w:rPr>
          <w:rFonts w:asciiTheme="minorEastAsia" w:hAnsiTheme="minorEastAsia" w:cs="Arial" w:hint="eastAsia"/>
          <w:sz w:val="24"/>
        </w:rPr>
        <w:t>不同，由此产生的责任由基金管理人承担</w:t>
      </w:r>
      <w:r>
        <w:rPr>
          <w:rFonts w:asciiTheme="minorEastAsia" w:hAnsiTheme="minorEastAsia" w:hint="eastAsia"/>
          <w:sz w:val="24"/>
        </w:rPr>
        <w:t>。</w:t>
      </w:r>
      <w:r>
        <w:rPr>
          <w:rFonts w:asciiTheme="minorEastAsia" w:hAnsiTheme="minorEastAsia" w:cs="Arial" w:hint="eastAsia"/>
          <w:sz w:val="24"/>
        </w:rPr>
        <w:t>基金托管人更换接受基金管理人指令的人员，应提前通过录音电话通知基金管理人。</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（八）其他事项</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基金参与认购未上市债券时，基金管理人应代表本基金与对手方签署相关合同或协议，明确约定债券过户具体事宜。否则，基金管理人需对所认购债券的过户</w:t>
      </w:r>
      <w:r>
        <w:rPr>
          <w:rFonts w:asciiTheme="minorEastAsia" w:hAnsiTheme="minorEastAsia" w:cs="Arial" w:hint="eastAsia"/>
          <w:sz w:val="24"/>
        </w:rPr>
        <w:lastRenderedPageBreak/>
        <w:t>事宜承担相应责任。</w:t>
      </w:r>
    </w:p>
    <w:p w:rsidR="002F4F6D" w:rsidRDefault="002F4F6D">
      <w:pPr>
        <w:adjustRightInd w:val="0"/>
        <w:snapToGrid w:val="0"/>
        <w:spacing w:line="360" w:lineRule="auto"/>
        <w:rPr>
          <w:rFonts w:asciiTheme="minorEastAsia" w:hAnsiTheme="minorEastAsia" w:cs="Arial"/>
          <w:sz w:val="24"/>
        </w:rPr>
      </w:pPr>
    </w:p>
    <w:p w:rsidR="002F4F6D" w:rsidRDefault="007A5871">
      <w:pPr>
        <w:pStyle w:val="2"/>
        <w:spacing w:line="360" w:lineRule="auto"/>
        <w:jc w:val="center"/>
        <w:rPr>
          <w:rFonts w:asciiTheme="minorEastAsia" w:eastAsiaTheme="minorEastAsia" w:hAnsiTheme="minorEastAsia"/>
          <w:sz w:val="30"/>
        </w:rPr>
      </w:pPr>
      <w:bookmarkStart w:id="65" w:name="_Toc110761799"/>
      <w:bookmarkStart w:id="66" w:name="_Toc89163371"/>
      <w:bookmarkStart w:id="67" w:name="_Toc118774806"/>
      <w:bookmarkStart w:id="68" w:name="_Toc86223245"/>
      <w:bookmarkStart w:id="69" w:name="_Toc86649725"/>
      <w:bookmarkStart w:id="70" w:name="_Toc84234437"/>
      <w:bookmarkStart w:id="71" w:name="_Toc86727358"/>
      <w:bookmarkStart w:id="72" w:name="_Toc84234390"/>
      <w:bookmarkStart w:id="73" w:name="_Toc110765663"/>
      <w:bookmarkStart w:id="74" w:name="_Toc110830495"/>
      <w:bookmarkStart w:id="75" w:name="_Toc86204791"/>
      <w:bookmarkStart w:id="76" w:name="_Toc86726442"/>
      <w:bookmarkStart w:id="77" w:name="_Toc118212953"/>
      <w:bookmarkStart w:id="78" w:name="_Toc86737932"/>
      <w:bookmarkStart w:id="79" w:name="_Toc124325891"/>
      <w:bookmarkStart w:id="80" w:name="_Toc118972651"/>
      <w:bookmarkStart w:id="81" w:name="_Toc119402713"/>
      <w:bookmarkStart w:id="82" w:name="_Toc84133788"/>
      <w:bookmarkStart w:id="83" w:name="_Toc108512361"/>
      <w:bookmarkStart w:id="84" w:name="_Toc86225294"/>
      <w:bookmarkStart w:id="85" w:name="_Toc120435786"/>
      <w:r>
        <w:rPr>
          <w:rFonts w:asciiTheme="minorEastAsia" w:eastAsiaTheme="minorEastAsia" w:hAnsiTheme="minorEastAsia"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（一）选择证券买卖的证券经营机构</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本基金在开始进行期货投资之前，应与基金托管人、期货公司三方</w:t>
      </w:r>
      <w:proofErr w:type="gramStart"/>
      <w:r>
        <w:rPr>
          <w:rFonts w:asciiTheme="minorEastAsia" w:hAnsiTheme="minorEastAsia" w:cs="Arial" w:hint="eastAsia"/>
          <w:sz w:val="24"/>
        </w:rPr>
        <w:t>一同就</w:t>
      </w:r>
      <w:proofErr w:type="gramEnd"/>
      <w:r>
        <w:rPr>
          <w:rFonts w:asciiTheme="minorEastAsia" w:hAnsiTheme="minorEastAsia" w:cs="Arial" w:hint="eastAsia"/>
          <w:sz w:val="24"/>
        </w:rPr>
        <w:t>期货开户、清算、估值、交收等事宜另行签署《期货投资托管操作三方备忘录》。</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（二）基金投资证券后的清算交收安排</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1.清算与交割</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基金管理人与基金托管人应根据有关法律法规及相关业务规则，签订</w:t>
      </w:r>
      <w:proofErr w:type="gramStart"/>
      <w:r>
        <w:rPr>
          <w:rFonts w:asciiTheme="minorEastAsia" w:hAnsiTheme="minorEastAsia" w:cs="Arial" w:hint="eastAsia"/>
          <w:sz w:val="24"/>
        </w:rPr>
        <w:t>《</w:t>
      </w:r>
      <w:proofErr w:type="gramEnd"/>
      <w:r>
        <w:rPr>
          <w:rFonts w:asciiTheme="minorEastAsia" w:hAnsiTheme="minorEastAsia" w:cs="Arial" w:hint="eastAsia"/>
          <w:sz w:val="24"/>
        </w:rPr>
        <w:t>托管</w:t>
      </w:r>
    </w:p>
    <w:p w:rsidR="002F4F6D" w:rsidRDefault="007A5871">
      <w:pPr>
        <w:adjustRightInd w:val="0"/>
        <w:snapToGrid w:val="0"/>
        <w:spacing w:line="360" w:lineRule="auto"/>
        <w:rPr>
          <w:rFonts w:asciiTheme="minorEastAsia" w:hAnsiTheme="minorEastAsia" w:cs="Arial"/>
          <w:sz w:val="24"/>
        </w:rPr>
      </w:pPr>
      <w:r>
        <w:rPr>
          <w:rFonts w:asciiTheme="minorEastAsia" w:hAnsiTheme="minorEastAsia" w:cs="Arial" w:hint="eastAsia"/>
          <w:sz w:val="24"/>
        </w:rPr>
        <w:t>银行证券资金结算协议</w:t>
      </w:r>
      <w:proofErr w:type="gramStart"/>
      <w:r>
        <w:rPr>
          <w:rFonts w:asciiTheme="minorEastAsia" w:hAnsiTheme="minorEastAsia" w:cs="Arial" w:hint="eastAsia"/>
          <w:sz w:val="24"/>
        </w:rPr>
        <w:t>》</w:t>
      </w:r>
      <w:proofErr w:type="gramEnd"/>
      <w:r>
        <w:rPr>
          <w:rFonts w:asciiTheme="minorEastAsia" w:hAnsiTheme="minorEastAsia" w:cs="Arial" w:hint="eastAsia"/>
          <w:sz w:val="24"/>
        </w:rPr>
        <w:t>，如投资港股通，还需签订《证券投资基金港股通结算补充协议》，用以具体明确基金管理人与基金托管人在证券交易资金结算业务中的责任。</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根据中国证券登记结算</w:t>
      </w:r>
      <w:r>
        <w:rPr>
          <w:rFonts w:asciiTheme="minorEastAsia" w:hAnsiTheme="minorEastAsia" w:hint="eastAsia"/>
          <w:sz w:val="24"/>
        </w:rPr>
        <w:t>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基金托管人负责基金买卖证券的清算交收。场内资金结算由基金托管人根据中国证券登记结算有限责任公司结算数据办理；场外资金汇划由基金托管人根据</w:t>
      </w:r>
      <w:r>
        <w:rPr>
          <w:rFonts w:asciiTheme="minorEastAsia" w:hAnsiTheme="minorEastAsia" w:cs="Arial" w:hint="eastAsia"/>
          <w:sz w:val="24"/>
        </w:rPr>
        <w:lastRenderedPageBreak/>
        <w:t>基金管理人的交易划款指令具体办理。</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Pr>
          <w:rFonts w:asciiTheme="minorEastAsia" w:hAnsiTheme="minorEastAsia" w:cs="Arial" w:hint="eastAsia"/>
          <w:sz w:val="24"/>
        </w:rPr>
        <w:t>券</w:t>
      </w:r>
      <w:proofErr w:type="gramEnd"/>
      <w:r>
        <w:rPr>
          <w:rFonts w:asciiTheme="minorEastAsia" w:hAnsiTheme="minorEastAsia" w:cs="Arial" w:hint="eastAsia"/>
          <w:sz w:val="24"/>
        </w:rPr>
        <w:t>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rsidR="002F4F6D" w:rsidRDefault="007A5871">
      <w:pPr>
        <w:adjustRightInd w:val="0"/>
        <w:snapToGrid w:val="0"/>
        <w:spacing w:line="360" w:lineRule="auto"/>
        <w:ind w:firstLine="480"/>
        <w:rPr>
          <w:rFonts w:asciiTheme="minorEastAsia" w:hAnsiTheme="minorEastAsia" w:cs="宋体"/>
          <w:kern w:val="0"/>
          <w:sz w:val="24"/>
        </w:rPr>
      </w:pPr>
      <w:r>
        <w:rPr>
          <w:rFonts w:asciiTheme="minorEastAsia" w:hAnsiTheme="minorEastAsia" w:cs="宋体" w:hint="eastAsia"/>
          <w:kern w:val="0"/>
          <w:sz w:val="24"/>
        </w:rPr>
        <w:t>基金管理人应采取合理、必要措施，确保T日日终有足够的资金头寸完成 T+1日中国证券登记结算有限责任公司的资金交收；如因基金管理</w:t>
      </w:r>
      <w:proofErr w:type="gramStart"/>
      <w:r>
        <w:rPr>
          <w:rFonts w:asciiTheme="minorEastAsia" w:hAnsiTheme="minorEastAsia" w:cs="宋体" w:hint="eastAsia"/>
          <w:kern w:val="0"/>
          <w:sz w:val="24"/>
        </w:rPr>
        <w:t>人原因</w:t>
      </w:r>
      <w:proofErr w:type="gramEnd"/>
      <w:r>
        <w:rPr>
          <w:rFonts w:asciiTheme="minorEastAsia" w:hAnsiTheme="minorEastAsia" w:cs="宋体" w:hint="eastAsia"/>
          <w:kern w:val="0"/>
          <w:sz w:val="24"/>
        </w:rPr>
        <w:t>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宋体" w:hint="eastAsia"/>
          <w:kern w:val="0"/>
          <w:sz w:val="24"/>
        </w:rPr>
        <w:t>根据中国证券登记结算有限责任公司结算规定，基金管理人在进行融资回购业务时，用于融资回购的债券将作为偿还融资回购到期购回款的质押</w:t>
      </w:r>
      <w:proofErr w:type="gramStart"/>
      <w:r>
        <w:rPr>
          <w:rFonts w:asciiTheme="minorEastAsia" w:hAnsiTheme="minorEastAsia" w:cs="宋体" w:hint="eastAsia"/>
          <w:kern w:val="0"/>
          <w:sz w:val="24"/>
        </w:rPr>
        <w:t>券</w:t>
      </w:r>
      <w:proofErr w:type="gramEnd"/>
      <w:r>
        <w:rPr>
          <w:rFonts w:asciiTheme="minorEastAsia" w:hAnsiTheme="minorEastAsia" w:cs="宋体" w:hint="eastAsia"/>
          <w:kern w:val="0"/>
          <w:sz w:val="24"/>
        </w:rPr>
        <w:t>。如因基金管理</w:t>
      </w:r>
      <w:proofErr w:type="gramStart"/>
      <w:r>
        <w:rPr>
          <w:rFonts w:asciiTheme="minorEastAsia" w:hAnsiTheme="minorEastAsia" w:cs="宋体" w:hint="eastAsia"/>
          <w:kern w:val="0"/>
          <w:sz w:val="24"/>
        </w:rPr>
        <w:t>人原因</w:t>
      </w:r>
      <w:proofErr w:type="gramEnd"/>
      <w:r>
        <w:rPr>
          <w:rFonts w:asciiTheme="minorEastAsia" w:hAnsiTheme="minorEastAsia" w:cs="宋体" w:hint="eastAsia"/>
          <w:kern w:val="0"/>
          <w:sz w:val="24"/>
        </w:rPr>
        <w:t>造成债券回购交收违约或因折算率变化造成质押欠库，导致中国证券登记结算有限责任公司欠库扣款或对质押</w:t>
      </w:r>
      <w:proofErr w:type="gramStart"/>
      <w:r>
        <w:rPr>
          <w:rFonts w:asciiTheme="minorEastAsia" w:hAnsiTheme="minorEastAsia" w:cs="宋体" w:hint="eastAsia"/>
          <w:kern w:val="0"/>
          <w:sz w:val="24"/>
        </w:rPr>
        <w:t>券</w:t>
      </w:r>
      <w:proofErr w:type="gramEnd"/>
      <w:r>
        <w:rPr>
          <w:rFonts w:asciiTheme="minorEastAsia" w:hAnsiTheme="minorEastAsia" w:cs="宋体" w:hint="eastAsia"/>
          <w:kern w:val="0"/>
          <w:sz w:val="24"/>
        </w:rPr>
        <w:t>进行处置造成的投资风险和损失由基金管理人承担。</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实行场内T+0交收的资金清算按照基金托管人的相关规定流程执行。</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2.交易记录、资金和证券/期货账目核对的时间和方式</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（1）交易记录的核对</w:t>
      </w:r>
    </w:p>
    <w:p w:rsidR="002F4F6D" w:rsidRDefault="007A5871">
      <w:pPr>
        <w:adjustRightInd w:val="0"/>
        <w:snapToGrid w:val="0"/>
        <w:spacing w:line="360" w:lineRule="auto"/>
        <w:rPr>
          <w:rFonts w:asciiTheme="minorEastAsia" w:hAnsiTheme="minorEastAsia" w:cs="Arial"/>
          <w:sz w:val="24"/>
        </w:rPr>
      </w:pPr>
      <w:r>
        <w:rPr>
          <w:rFonts w:asciiTheme="minorEastAsia" w:hAnsiTheme="minorEastAsia" w:hint="eastAsia"/>
          <w:kern w:val="0"/>
          <w:sz w:val="24"/>
        </w:rPr>
        <w:t xml:space="preserve">    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（2）资金账目的核对</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资金账目按日核实。</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lastRenderedPageBreak/>
        <w:t>（3）证券/期货账目的核对</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基金管理人和基金托管人每交易日结束后核对基金证券/期货账目，确保双方账目相符。基金管理人和基金托管人每月月末核对实物证券账目。</w:t>
      </w:r>
    </w:p>
    <w:p w:rsidR="002F4F6D" w:rsidRDefault="007A5871">
      <w:pPr>
        <w:adjustRightInd w:val="0"/>
        <w:snapToGrid w:val="0"/>
        <w:spacing w:line="360" w:lineRule="auto"/>
        <w:ind w:firstLine="480"/>
        <w:outlineLvl w:val="0"/>
        <w:rPr>
          <w:rFonts w:asciiTheme="minorEastAsia" w:hAnsiTheme="minorEastAsia" w:cs="Arial"/>
          <w:sz w:val="24"/>
        </w:rPr>
      </w:pPr>
      <w:r>
        <w:rPr>
          <w:rFonts w:asciiTheme="minorEastAsia" w:hAnsiTheme="minorEastAsia" w:cs="Arial" w:hint="eastAsia"/>
          <w:sz w:val="24"/>
        </w:rPr>
        <w:t>（三）基金申购和赎回业务处理的基本规定</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1.基金份额申购、赎回的确认、清算由基金管理人或其委托的注册登记机构负责。</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3.基金管理人应保证本基金（或本基金管理人委托）的注册登记机构每个工作日15:00前向基金托管人发送前一开放</w:t>
      </w:r>
      <w:proofErr w:type="gramStart"/>
      <w:r>
        <w:rPr>
          <w:rFonts w:asciiTheme="minorEastAsia" w:hAnsiTheme="minorEastAsia" w:cs="Arial" w:hint="eastAsia"/>
          <w:sz w:val="24"/>
        </w:rPr>
        <w:t>日上述</w:t>
      </w:r>
      <w:proofErr w:type="gramEnd"/>
      <w:r>
        <w:rPr>
          <w:rFonts w:asciiTheme="minorEastAsia" w:hAnsiTheme="minorEastAsia" w:cs="Arial" w:hint="eastAsia"/>
          <w:sz w:val="24"/>
        </w:rPr>
        <w:t>有关数据，并保证相关数据的准确、完整。</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5.如基金管理人委托其他机构办理本基金的注册登记业务，应保证上述相关事宜按时进行。否则，由基金管理人承担相应的责任。</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6.关于清算专用账户的设立和管理</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为满足申购、赎回及分红资金汇划的需要，由基金管理人开立资金清算的专用账户，该账户由注册登记机构管理。</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8.赎回和分红资金划拨规定</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拨付</w:t>
      </w:r>
      <w:proofErr w:type="gramStart"/>
      <w:r>
        <w:rPr>
          <w:rFonts w:asciiTheme="minorEastAsia" w:hAnsiTheme="minorEastAsia" w:cs="Arial" w:hint="eastAsia"/>
          <w:sz w:val="24"/>
        </w:rPr>
        <w:t>赎回款</w:t>
      </w:r>
      <w:proofErr w:type="gramEnd"/>
      <w:r>
        <w:rPr>
          <w:rFonts w:asciiTheme="minorEastAsia" w:hAnsiTheme="minorEastAsia" w:cs="Arial" w:hint="eastAsia"/>
          <w:sz w:val="24"/>
        </w:rPr>
        <w:t>或进行基金分红时，如基金资金账户有足够的资金，基金托管人应按时拨付；因基金资金账户没有足够的资金，导致基金托管人不能按时拨付，如</w:t>
      </w:r>
      <w:proofErr w:type="gramStart"/>
      <w:r>
        <w:rPr>
          <w:rFonts w:asciiTheme="minorEastAsia" w:hAnsiTheme="minorEastAsia" w:cs="Arial" w:hint="eastAsia"/>
          <w:sz w:val="24"/>
        </w:rPr>
        <w:t>系基金</w:t>
      </w:r>
      <w:proofErr w:type="gramEnd"/>
      <w:r>
        <w:rPr>
          <w:rFonts w:asciiTheme="minorEastAsia" w:hAnsiTheme="minorEastAsia" w:cs="Arial" w:hint="eastAsia"/>
          <w:sz w:val="24"/>
        </w:rPr>
        <w:t>管理人的原因造成，责任由基金管理人承担，基金托管人不承担垫款义务。</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lastRenderedPageBreak/>
        <w:t>9.资金指令</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除申购款项到达基金资金账户需双方按约定方式对账外，回购到期付款和与投资有关的付款、赎回和分红资金划拨时，基金管理人需向基金托管人下达指令。</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资金指令的格式、内容、发送、接收和确认方式等与投资指令相同。</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（四）</w:t>
      </w:r>
      <w:proofErr w:type="gramStart"/>
      <w:r>
        <w:rPr>
          <w:rFonts w:asciiTheme="minorEastAsia" w:hAnsiTheme="minorEastAsia" w:cs="Arial" w:hint="eastAsia"/>
          <w:sz w:val="24"/>
        </w:rPr>
        <w:t>申赎净额</w:t>
      </w:r>
      <w:proofErr w:type="gramEnd"/>
      <w:r>
        <w:rPr>
          <w:rFonts w:asciiTheme="minorEastAsia" w:hAnsiTheme="minorEastAsia" w:cs="Arial" w:hint="eastAsia"/>
          <w:sz w:val="24"/>
        </w:rPr>
        <w:t>结算</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Pr>
          <w:rFonts w:asciiTheme="minorEastAsia" w:hAnsiTheme="minorEastAsia" w:cs="Arial" w:hint="eastAsia"/>
          <w:sz w:val="24"/>
        </w:rPr>
        <w:t>划往基金</w:t>
      </w:r>
      <w:proofErr w:type="gramEnd"/>
      <w:r>
        <w:rPr>
          <w:rFonts w:asciiTheme="minorEastAsia" w:hAnsiTheme="minorEastAsia" w:cs="Arial" w:hint="eastAsia"/>
          <w:sz w:val="24"/>
        </w:rPr>
        <w:t>清算账户。</w:t>
      </w:r>
    </w:p>
    <w:p w:rsidR="002F4F6D" w:rsidRDefault="007A5871">
      <w:pPr>
        <w:adjustRightInd w:val="0"/>
        <w:snapToGrid w:val="0"/>
        <w:spacing w:line="360" w:lineRule="auto"/>
        <w:ind w:firstLine="480"/>
        <w:outlineLvl w:val="0"/>
        <w:rPr>
          <w:rFonts w:asciiTheme="minorEastAsia" w:hAnsiTheme="minorEastAsia" w:cs="Arial"/>
          <w:sz w:val="24"/>
        </w:rPr>
      </w:pPr>
      <w:r>
        <w:rPr>
          <w:rFonts w:asciiTheme="minorEastAsia" w:hAnsiTheme="minorEastAsia" w:cs="Arial" w:hint="eastAsia"/>
          <w:sz w:val="24"/>
        </w:rPr>
        <w:t>（五）基金转换</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1.在本基金与基金管理人管理的其它基金开展转换业务之前，基金管理人应函告基金托管人并就相关事宜进行协商。</w:t>
      </w:r>
    </w:p>
    <w:p w:rsidR="002F4F6D" w:rsidRDefault="007A5871">
      <w:pPr>
        <w:adjustRightInd w:val="0"/>
        <w:snapToGrid w:val="0"/>
        <w:spacing w:line="360" w:lineRule="auto"/>
        <w:ind w:firstLine="480"/>
        <w:outlineLvl w:val="0"/>
        <w:rPr>
          <w:rFonts w:asciiTheme="minorEastAsia" w:hAnsiTheme="minorEastAsia" w:cs="Arial"/>
          <w:sz w:val="24"/>
        </w:rPr>
      </w:pPr>
      <w:r>
        <w:rPr>
          <w:rFonts w:asciiTheme="minorEastAsia" w:hAnsiTheme="minorEastAsia" w:cs="Arial" w:hint="eastAsia"/>
          <w:sz w:val="24"/>
        </w:rPr>
        <w:t>2.基金托管人将根据基金管理人传送的基金转换数据进行账务处理，</w:t>
      </w:r>
      <w:proofErr w:type="gramStart"/>
      <w:r>
        <w:rPr>
          <w:rFonts w:asciiTheme="minorEastAsia" w:hAnsiTheme="minorEastAsia" w:cs="Arial" w:hint="eastAsia"/>
          <w:sz w:val="24"/>
        </w:rPr>
        <w:t>具体资金</w:t>
      </w:r>
      <w:proofErr w:type="gramEnd"/>
      <w:r>
        <w:rPr>
          <w:rFonts w:asciiTheme="minorEastAsia" w:hAnsiTheme="minorEastAsia" w:cs="Arial" w:hint="eastAsia"/>
          <w:sz w:val="24"/>
        </w:rPr>
        <w:t>清算和数据传递的时间、程序及托管协议当事人承担的权责按基金管理人届时的公告执行。</w:t>
      </w:r>
    </w:p>
    <w:p w:rsidR="002F4F6D" w:rsidRDefault="007A5871">
      <w:pPr>
        <w:adjustRightInd w:val="0"/>
        <w:snapToGrid w:val="0"/>
        <w:spacing w:line="360" w:lineRule="auto"/>
        <w:ind w:firstLine="480"/>
        <w:outlineLvl w:val="0"/>
        <w:rPr>
          <w:rFonts w:asciiTheme="minorEastAsia" w:hAnsiTheme="minorEastAsia" w:cs="Arial"/>
          <w:sz w:val="24"/>
        </w:rPr>
      </w:pPr>
      <w:r>
        <w:rPr>
          <w:rFonts w:asciiTheme="minorEastAsia" w:hAnsiTheme="minorEastAsia" w:cs="Arial" w:hint="eastAsia"/>
          <w:sz w:val="24"/>
        </w:rPr>
        <w:t>3.本基金开展基金转换业务应按相关法律法规规定及《基金合同》的约定进行公告。</w:t>
      </w:r>
    </w:p>
    <w:p w:rsidR="002F4F6D" w:rsidRDefault="007A5871">
      <w:pPr>
        <w:adjustRightInd w:val="0"/>
        <w:snapToGrid w:val="0"/>
        <w:spacing w:line="360" w:lineRule="auto"/>
        <w:ind w:firstLine="480"/>
        <w:outlineLvl w:val="0"/>
        <w:rPr>
          <w:rFonts w:asciiTheme="minorEastAsia" w:hAnsiTheme="minorEastAsia" w:cs="Arial"/>
          <w:sz w:val="24"/>
        </w:rPr>
      </w:pPr>
      <w:r>
        <w:rPr>
          <w:rFonts w:asciiTheme="minorEastAsia" w:hAnsiTheme="minorEastAsia" w:cs="Arial" w:hint="eastAsia"/>
          <w:sz w:val="24"/>
        </w:rPr>
        <w:t>（六）基金现金分红</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1.基金管理人确定分红方案通知基金托管人，双方核定后</w:t>
      </w:r>
      <w:r>
        <w:rPr>
          <w:rFonts w:asciiTheme="minorEastAsia" w:hAnsiTheme="minorEastAsia" w:hint="eastAsia"/>
          <w:sz w:val="24"/>
          <w:szCs w:val="18"/>
        </w:rPr>
        <w:t>依照《信息披露办法》的有关规定在中国证监会规定媒介上公告</w:t>
      </w:r>
      <w:r>
        <w:rPr>
          <w:rFonts w:asciiTheme="minorEastAsia" w:hAnsiTheme="minorEastAsia" w:cs="Arial" w:hint="eastAsia"/>
          <w:sz w:val="24"/>
        </w:rPr>
        <w:t>。</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2.基金托管人和基金管理人对基金分红进行账务处理并核对后，基金管理人向基金托管人发送现金红利的划款指令，基金托管人应及时将资金划入专用账户。</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3.基金管理人在下达指令时，应给基金托管人留出必需的划款时间。</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（七）投资银行存款的特别约定</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1.本基金投资银行存款前，基金管理人应与存款银行签订具体存款协议，包括但不限于以下内容：</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（1）存款账户必须以本基金名义开立,并将基金托管人为本基金开立的基金</w:t>
      </w:r>
      <w:r>
        <w:rPr>
          <w:rFonts w:asciiTheme="minorEastAsia" w:hAnsiTheme="minorEastAsia" w:cs="Arial" w:hint="eastAsia"/>
          <w:sz w:val="24"/>
        </w:rPr>
        <w:lastRenderedPageBreak/>
        <w:t>银行账户指定为唯一回款账户，任何情况下，存款银行都不得将存款投资</w:t>
      </w:r>
      <w:proofErr w:type="gramStart"/>
      <w:r>
        <w:rPr>
          <w:rFonts w:asciiTheme="minorEastAsia" w:hAnsiTheme="minorEastAsia" w:cs="Arial" w:hint="eastAsia"/>
          <w:sz w:val="24"/>
        </w:rPr>
        <w:t>本息划往任何</w:t>
      </w:r>
      <w:proofErr w:type="gramEnd"/>
      <w:r>
        <w:rPr>
          <w:rFonts w:asciiTheme="minorEastAsia" w:hAnsiTheme="minorEastAsia" w:cs="Arial" w:hint="eastAsia"/>
          <w:sz w:val="24"/>
        </w:rPr>
        <w:t>其他账户。</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（2）存款银行不得接受基金管理人或基金托管人任何一方单方面提出的对存款进行更名、转让、挂失、质押、担保、撤销、变更印鉴及回款账户信息等可能导致财产转移的操作申请。</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（3）约定存款证实书的具体传递交接方式及交接期限。</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（4）资金划转过程中需要使用存款银行过渡账户的，存款银行须保证资金在过渡账户中不出现滞留，不被挪用。</w:t>
      </w:r>
    </w:p>
    <w:p w:rsidR="002F4F6D" w:rsidRDefault="007A5871">
      <w:pPr>
        <w:adjustRightInd w:val="0"/>
        <w:snapToGrid w:val="0"/>
        <w:spacing w:line="360" w:lineRule="auto"/>
        <w:ind w:firstLine="480"/>
        <w:rPr>
          <w:rFonts w:asciiTheme="minorEastAsia" w:hAnsiTheme="minorEastAsia" w:cs="Arial"/>
          <w:sz w:val="24"/>
        </w:rPr>
      </w:pPr>
      <w:r>
        <w:rPr>
          <w:rFonts w:asciiTheme="minorEastAsia" w:hAnsiTheme="minorEastAsia"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w:t>
      </w:r>
      <w:r>
        <w:rPr>
          <w:rFonts w:asciiTheme="minorEastAsia" w:hAnsiTheme="minorEastAsia" w:hint="eastAsia"/>
          <w:bCs/>
          <w:sz w:val="24"/>
        </w:rPr>
        <w:t>切实履行托管职责。托管人负责对存款开户证实书进行保管，</w:t>
      </w:r>
      <w:r>
        <w:rPr>
          <w:rFonts w:asciiTheme="minorEastAsia" w:hAnsiTheme="minorEastAsia" w:hint="eastAsia"/>
          <w:sz w:val="24"/>
        </w:rPr>
        <w:t>不负责对存款开户证实书真伪的辨别，不承担存款开户证实书对应存款的本金及收益的安全</w:t>
      </w:r>
      <w:r>
        <w:rPr>
          <w:rFonts w:asciiTheme="minorEastAsia" w:hAnsiTheme="minorEastAsia" w:hint="eastAsia"/>
          <w:bCs/>
          <w:sz w:val="24"/>
        </w:rPr>
        <w:t>。</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3.</w:t>
      </w:r>
      <w:r>
        <w:rPr>
          <w:rFonts w:asciiTheme="minorEastAsia" w:hAnsiTheme="minorEastAsia" w:hint="eastAsia"/>
        </w:rPr>
        <w:t xml:space="preserve"> </w:t>
      </w:r>
      <w:r>
        <w:rPr>
          <w:rFonts w:asciiTheme="minorEastAsia" w:hAnsiTheme="minorEastAsia" w:cs="Arial" w:hint="eastAsia"/>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w:t>
      </w:r>
      <w:proofErr w:type="gramStart"/>
      <w:r>
        <w:rPr>
          <w:rFonts w:asciiTheme="minorEastAsia" w:hAnsiTheme="minorEastAsia" w:cs="Arial" w:hint="eastAsia"/>
          <w:sz w:val="24"/>
        </w:rPr>
        <w:t>函管</w:t>
      </w:r>
      <w:proofErr w:type="gramEnd"/>
      <w:r>
        <w:rPr>
          <w:rFonts w:asciiTheme="minorEastAsia" w:hAnsiTheme="minorEastAsia" w:cs="Arial" w:hint="eastAsia"/>
          <w:sz w:val="24"/>
        </w:rPr>
        <w:t>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托管行保管后解除。实物凭证未送达但存款本息已安全划回托管账户的，以及因发生特殊情况由管理人提供相关书面说明并重新承诺送单截止时间的，可剔除不计。</w:t>
      </w:r>
    </w:p>
    <w:p w:rsidR="002F4F6D" w:rsidRDefault="007A5871">
      <w:pPr>
        <w:pStyle w:val="2"/>
        <w:spacing w:line="360" w:lineRule="auto"/>
        <w:jc w:val="center"/>
        <w:rPr>
          <w:rFonts w:asciiTheme="minorEastAsia" w:eastAsiaTheme="minorEastAsia" w:hAnsiTheme="minorEastAsia"/>
          <w:sz w:val="30"/>
        </w:rPr>
      </w:pPr>
      <w:bookmarkStart w:id="86" w:name="_Toc124325892"/>
      <w:r>
        <w:rPr>
          <w:rFonts w:asciiTheme="minorEastAsia" w:eastAsiaTheme="minorEastAsia" w:hAnsiTheme="minorEastAsia" w:hint="eastAsia"/>
          <w:sz w:val="30"/>
        </w:rPr>
        <w:lastRenderedPageBreak/>
        <w:t>八、基金资产净值计算和会计核算</w:t>
      </w:r>
      <w:bookmarkEnd w:id="86"/>
    </w:p>
    <w:p w:rsidR="002F4F6D" w:rsidRDefault="007A5871">
      <w:pPr>
        <w:adjustRightInd w:val="0"/>
        <w:snapToGrid w:val="0"/>
        <w:spacing w:line="360" w:lineRule="auto"/>
        <w:ind w:firstLineChars="200" w:firstLine="480"/>
        <w:outlineLvl w:val="0"/>
        <w:rPr>
          <w:rFonts w:asciiTheme="minorEastAsia" w:hAnsiTheme="minorEastAsia" w:cs="Arial"/>
          <w:sz w:val="24"/>
        </w:rPr>
      </w:pPr>
      <w:r>
        <w:rPr>
          <w:rFonts w:asciiTheme="minorEastAsia" w:hAnsiTheme="minorEastAsia" w:cs="Arial" w:hint="eastAsia"/>
          <w:sz w:val="24"/>
        </w:rPr>
        <w:t>（一）基金资产净值的计算、复核与完成的时间及程序</w:t>
      </w:r>
    </w:p>
    <w:p w:rsidR="002F4F6D" w:rsidRDefault="007A5871">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1．各类基金份额净值是按照每个估值日闭市后，各类基金份额的基金资产净值除以当日该类基金份额的余额数量计算，精确到0.0001元，小数点后第5位四舍五入。基金管理人可以设立大额赎回情形下的净值精度应急调整机制。国家另有规定的，从其规定。</w:t>
      </w:r>
    </w:p>
    <w:p w:rsidR="002F4F6D" w:rsidRDefault="007A5871">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每个估值日计算基金资产净值及各类基金份额的基金份额净值，并按规定披露。</w:t>
      </w:r>
    </w:p>
    <w:p w:rsidR="002F4F6D" w:rsidRDefault="007A5871">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2。基金管理人</w:t>
      </w:r>
      <w:proofErr w:type="gramStart"/>
      <w:r>
        <w:rPr>
          <w:rFonts w:asciiTheme="minorEastAsia" w:hAnsiTheme="minorEastAsia" w:hint="eastAsia"/>
          <w:sz w:val="24"/>
        </w:rPr>
        <w:t>应每个</w:t>
      </w:r>
      <w:proofErr w:type="gramEnd"/>
      <w:r>
        <w:rPr>
          <w:rFonts w:asciiTheme="minorEastAsia" w:hAnsiTheme="minorEastAsia" w:hint="eastAsia"/>
          <w:sz w:val="24"/>
        </w:rPr>
        <w:t>估值日对基金资产估值。但基金管理人根据法律法规或本基金合同的规定暂停估值时除外。基金管理人每个估值日对基金资产估值后，将各类基金份额的基金份额净值结果发送基金托管人，经基金托管人复核无误后，由基金管理人根据基金合同的约定对外公布。</w:t>
      </w:r>
    </w:p>
    <w:p w:rsidR="002F4F6D" w:rsidRDefault="007A5871">
      <w:pPr>
        <w:spacing w:line="360" w:lineRule="auto"/>
        <w:ind w:firstLineChars="200" w:firstLine="480"/>
        <w:rPr>
          <w:rFonts w:asciiTheme="minorEastAsia" w:hAnsiTheme="minorEastAsia" w:cs="Arial"/>
          <w:sz w:val="24"/>
        </w:rPr>
      </w:pPr>
      <w:r>
        <w:rPr>
          <w:rFonts w:asciiTheme="minorEastAsia" w:hAnsiTheme="minorEastAsia" w:cs="Arial" w:hint="eastAsia"/>
          <w:sz w:val="24"/>
        </w:rPr>
        <w:t>（二）基金资产估值方法和特殊情形的处理</w:t>
      </w:r>
    </w:p>
    <w:p w:rsidR="002F4F6D" w:rsidRDefault="007A5871">
      <w:pPr>
        <w:spacing w:line="360" w:lineRule="auto"/>
        <w:ind w:firstLineChars="200" w:firstLine="480"/>
        <w:rPr>
          <w:rFonts w:asciiTheme="minorEastAsia" w:hAnsiTheme="minorEastAsia"/>
          <w:bCs/>
          <w:sz w:val="24"/>
        </w:rPr>
      </w:pPr>
      <w:r>
        <w:rPr>
          <w:rFonts w:asciiTheme="minorEastAsia" w:hAnsiTheme="minorEastAsia" w:hint="eastAsia"/>
          <w:bCs/>
          <w:sz w:val="24"/>
        </w:rPr>
        <w:t>本基金所持有的投资品种，按如下原则进行估值：</w:t>
      </w:r>
    </w:p>
    <w:p w:rsidR="002F4F6D" w:rsidRDefault="007A5871">
      <w:pPr>
        <w:spacing w:line="360" w:lineRule="auto"/>
        <w:ind w:firstLineChars="200" w:firstLine="480"/>
        <w:rPr>
          <w:bCs/>
          <w:sz w:val="24"/>
        </w:rPr>
      </w:pPr>
      <w:r>
        <w:rPr>
          <w:rFonts w:hint="eastAsia"/>
          <w:bCs/>
          <w:sz w:val="24"/>
        </w:rPr>
        <w:t>1</w:t>
      </w:r>
      <w:r>
        <w:rPr>
          <w:rFonts w:hint="eastAsia"/>
          <w:bCs/>
          <w:sz w:val="24"/>
        </w:rPr>
        <w:t>．证券交易所上市的有价证券的估值</w:t>
      </w:r>
    </w:p>
    <w:p w:rsidR="002F4F6D" w:rsidRDefault="007A587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2F4F6D" w:rsidRDefault="007A587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）对在交易所市场上市交易或挂牌转让的不含</w:t>
      </w:r>
      <w:proofErr w:type="gramStart"/>
      <w:r>
        <w:rPr>
          <w:rFonts w:hint="eastAsia"/>
          <w:bCs/>
          <w:sz w:val="24"/>
        </w:rPr>
        <w:t>权固定</w:t>
      </w:r>
      <w:proofErr w:type="gramEnd"/>
      <w:r>
        <w:rPr>
          <w:rFonts w:hint="eastAsia"/>
          <w:bCs/>
          <w:sz w:val="24"/>
        </w:rPr>
        <w:t>收益品种，选取估值日第三方估值机构提供的相应品种当日的估值净价进行估值，具体估值机构由基金管理人与基金托管人另行协商约定；</w:t>
      </w:r>
    </w:p>
    <w:p w:rsidR="002F4F6D" w:rsidRDefault="007A587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）对在交易所市场上市交易或挂牌转让的含</w:t>
      </w:r>
      <w:proofErr w:type="gramStart"/>
      <w:r>
        <w:rPr>
          <w:rFonts w:hint="eastAsia"/>
          <w:bCs/>
          <w:sz w:val="24"/>
        </w:rPr>
        <w:t>权固定</w:t>
      </w:r>
      <w:proofErr w:type="gramEnd"/>
      <w:r>
        <w:rPr>
          <w:rFonts w:hint="eastAsia"/>
          <w:bCs/>
          <w:sz w:val="24"/>
        </w:rPr>
        <w:t>收益品种，选取估值日第三方估值机构提供的相应品种当日的唯一估值净价或推荐估值净价进行估值；</w:t>
      </w:r>
    </w:p>
    <w:p w:rsidR="002F4F6D" w:rsidRDefault="007A587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）对在交易所市场上市交易的可转换债券，以每日收盘价作为估值全价；</w:t>
      </w:r>
    </w:p>
    <w:p w:rsidR="002F4F6D" w:rsidRDefault="007A587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）交易所上市不存在活跃市场的有价证券，采用估值技术确定公允价值。交易所市场挂牌转让的资产支持证券，采用估值技术确定公允价值；</w:t>
      </w:r>
    </w:p>
    <w:p w:rsidR="002F4F6D" w:rsidRDefault="007A5871">
      <w:pPr>
        <w:spacing w:line="360" w:lineRule="auto"/>
        <w:ind w:firstLineChars="200" w:firstLine="480"/>
        <w:rPr>
          <w:bCs/>
          <w:sz w:val="24"/>
        </w:rPr>
      </w:pPr>
      <w:r>
        <w:rPr>
          <w:rFonts w:hint="eastAsia"/>
          <w:bCs/>
          <w:sz w:val="24"/>
        </w:rPr>
        <w:lastRenderedPageBreak/>
        <w:t>（</w:t>
      </w:r>
      <w:r>
        <w:rPr>
          <w:rFonts w:hint="eastAsia"/>
          <w:bCs/>
          <w:sz w:val="24"/>
        </w:rPr>
        <w:t>6</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2F4F6D" w:rsidRDefault="007A5871">
      <w:pPr>
        <w:spacing w:line="360" w:lineRule="auto"/>
        <w:ind w:firstLineChars="200" w:firstLine="480"/>
        <w:rPr>
          <w:bCs/>
          <w:sz w:val="24"/>
        </w:rPr>
      </w:pPr>
      <w:r>
        <w:rPr>
          <w:rFonts w:hint="eastAsia"/>
          <w:bCs/>
          <w:sz w:val="24"/>
        </w:rPr>
        <w:t>2</w:t>
      </w:r>
      <w:r>
        <w:rPr>
          <w:rFonts w:hint="eastAsia"/>
          <w:bCs/>
          <w:sz w:val="24"/>
        </w:rPr>
        <w:t>．处于未上市期间或流通受限的有价证券应区分如下情况处理：</w:t>
      </w:r>
    </w:p>
    <w:p w:rsidR="002F4F6D" w:rsidRDefault="007A587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r>
        <w:rPr>
          <w:rFonts w:hint="eastAsia"/>
          <w:bCs/>
          <w:sz w:val="24"/>
        </w:rPr>
        <w:t xml:space="preserve"> </w:t>
      </w:r>
    </w:p>
    <w:p w:rsidR="002F4F6D" w:rsidRDefault="007A587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）首次公开发行未上市的股票、债券，采用估值技术确定公允价值，在估值技术难以可靠计量公允价值的情况下，按成本估值；</w:t>
      </w:r>
      <w:r>
        <w:rPr>
          <w:rFonts w:hint="eastAsia"/>
          <w:bCs/>
          <w:sz w:val="24"/>
        </w:rPr>
        <w:t xml:space="preserve"> </w:t>
      </w:r>
    </w:p>
    <w:p w:rsidR="002F4F6D" w:rsidRDefault="007A587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bCs/>
          <w:sz w:val="24"/>
        </w:rPr>
        <w:t>券</w:t>
      </w:r>
      <w:proofErr w:type="gramEnd"/>
      <w:r>
        <w:rPr>
          <w:rFonts w:hint="eastAsia"/>
          <w:bCs/>
          <w:sz w:val="24"/>
        </w:rPr>
        <w:t>等流通受限股票，按监管机构或行业协会有关规定确定公允价值。</w:t>
      </w:r>
    </w:p>
    <w:p w:rsidR="002F4F6D" w:rsidRDefault="007A5871">
      <w:pPr>
        <w:spacing w:line="360" w:lineRule="auto"/>
        <w:ind w:firstLineChars="200" w:firstLine="480"/>
        <w:rPr>
          <w:bCs/>
          <w:sz w:val="24"/>
        </w:rPr>
      </w:pPr>
      <w:r>
        <w:rPr>
          <w:rFonts w:hint="eastAsia"/>
          <w:bCs/>
          <w:sz w:val="24"/>
        </w:rPr>
        <w:t>3</w:t>
      </w:r>
      <w:r>
        <w:rPr>
          <w:rFonts w:hint="eastAsia"/>
          <w:bCs/>
          <w:sz w:val="24"/>
        </w:rPr>
        <w:t>．全国银行间市场交易的固定收益品种的估值</w:t>
      </w:r>
    </w:p>
    <w:p w:rsidR="002F4F6D" w:rsidRDefault="007A587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银行间市场交易不含权的固定收益品种，选取第三方估值机构提供的相应品种当日的估值净价进行估值。对银行间市场上含权的固定收益品种，选取第三方估值机构提供的相应品种当日的唯一估值净价或推荐估值净价。</w:t>
      </w:r>
      <w:r>
        <w:rPr>
          <w:rFonts w:hint="eastAsia"/>
          <w:bCs/>
          <w:sz w:val="24"/>
        </w:rPr>
        <w:t xml:space="preserve"> </w:t>
      </w:r>
    </w:p>
    <w:p w:rsidR="002F4F6D" w:rsidRDefault="007A587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）对银行间市场未上市，且第三方估值机构未提供估值价格的债券，在发行利率与二级市场利率不存在明显差异，未上市期间市场利率没有发生大的变动的情况下，按成本估值。</w:t>
      </w:r>
    </w:p>
    <w:p w:rsidR="002F4F6D" w:rsidRDefault="007A5871">
      <w:pPr>
        <w:spacing w:line="360" w:lineRule="auto"/>
        <w:ind w:firstLineChars="200" w:firstLine="480"/>
        <w:rPr>
          <w:bCs/>
          <w:sz w:val="24"/>
        </w:rPr>
      </w:pPr>
      <w:r>
        <w:rPr>
          <w:rFonts w:hint="eastAsia"/>
          <w:bCs/>
          <w:sz w:val="24"/>
        </w:rPr>
        <w:t>4</w:t>
      </w:r>
      <w:r>
        <w:rPr>
          <w:rFonts w:hint="eastAsia"/>
          <w:bCs/>
          <w:sz w:val="24"/>
        </w:rPr>
        <w:t>．同一证券同时在两个或两个以上市场交易的，按证券所处的市场分别估值。</w:t>
      </w:r>
    </w:p>
    <w:p w:rsidR="002F4F6D" w:rsidRDefault="007A5871">
      <w:pPr>
        <w:spacing w:line="360" w:lineRule="auto"/>
        <w:ind w:firstLineChars="200" w:firstLine="480"/>
        <w:rPr>
          <w:bCs/>
          <w:sz w:val="24"/>
        </w:rPr>
      </w:pPr>
      <w:r>
        <w:rPr>
          <w:rFonts w:hint="eastAsia"/>
          <w:bCs/>
          <w:sz w:val="24"/>
        </w:rPr>
        <w:t>5</w:t>
      </w:r>
      <w:r>
        <w:rPr>
          <w:rFonts w:hint="eastAsia"/>
          <w:bCs/>
          <w:sz w:val="24"/>
        </w:rPr>
        <w:t>．期货合约以估值当日结算价进行估值，估值当日无结算价的，且最近交易日后经济环境未发生重大变化的，采用最近交易日结算价估值。</w:t>
      </w:r>
    </w:p>
    <w:p w:rsidR="002F4F6D" w:rsidRDefault="007A5871">
      <w:pPr>
        <w:spacing w:line="360" w:lineRule="auto"/>
        <w:ind w:firstLineChars="200" w:firstLine="480"/>
        <w:rPr>
          <w:bCs/>
          <w:sz w:val="24"/>
        </w:rPr>
      </w:pPr>
      <w:r>
        <w:rPr>
          <w:rFonts w:hint="eastAsia"/>
          <w:bCs/>
          <w:sz w:val="24"/>
        </w:rPr>
        <w:t>6</w:t>
      </w:r>
      <w:r>
        <w:rPr>
          <w:rFonts w:hint="eastAsia"/>
          <w:bCs/>
          <w:sz w:val="24"/>
        </w:rPr>
        <w:t>．估值中的汇率选取原则：港股通投资持有外币证券资产估值涉及到的主要货币对人民币汇率，以估值日中国人民银行或其授权机构公布的人民币汇率中间价为准。</w:t>
      </w:r>
    </w:p>
    <w:p w:rsidR="002F4F6D" w:rsidRDefault="007A5871">
      <w:pPr>
        <w:spacing w:line="360" w:lineRule="auto"/>
        <w:ind w:firstLineChars="200" w:firstLine="480"/>
        <w:rPr>
          <w:bCs/>
          <w:sz w:val="24"/>
        </w:rPr>
      </w:pPr>
      <w:r>
        <w:rPr>
          <w:rFonts w:ascii="Times New Roman" w:hAnsi="Times New Roman" w:hint="eastAsia"/>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w:t>
      </w:r>
      <w:r>
        <w:rPr>
          <w:rFonts w:ascii="Times New Roman" w:hAnsi="Times New Roman" w:hint="eastAsia"/>
          <w:sz w:val="24"/>
        </w:rPr>
        <w:lastRenderedPageBreak/>
        <w:t>估算的应交税金有差异的，基金将在相关税金调整日或实际支付日进行相应的估值调整。</w:t>
      </w:r>
    </w:p>
    <w:p w:rsidR="002F4F6D" w:rsidRDefault="007A5871">
      <w:pPr>
        <w:spacing w:line="360" w:lineRule="auto"/>
        <w:ind w:firstLineChars="200" w:firstLine="480"/>
        <w:rPr>
          <w:bCs/>
          <w:sz w:val="24"/>
        </w:rPr>
      </w:pPr>
      <w:r>
        <w:rPr>
          <w:rFonts w:hint="eastAsia"/>
          <w:bCs/>
          <w:sz w:val="24"/>
        </w:rPr>
        <w:t>7</w:t>
      </w:r>
      <w:r>
        <w:rPr>
          <w:rFonts w:hint="eastAsia"/>
          <w:bCs/>
          <w:sz w:val="24"/>
        </w:rPr>
        <w:t>．当本基金发生大额申购或赎回情形时，基金管理人可以采用摆动定价机制，以确保基金估值的公平性。</w:t>
      </w:r>
    </w:p>
    <w:p w:rsidR="002F4F6D" w:rsidRDefault="007A5871">
      <w:pPr>
        <w:spacing w:line="360" w:lineRule="auto"/>
        <w:ind w:firstLineChars="200" w:firstLine="480"/>
        <w:rPr>
          <w:bCs/>
          <w:sz w:val="24"/>
        </w:rPr>
      </w:pPr>
      <w:r>
        <w:rPr>
          <w:rFonts w:hint="eastAsia"/>
          <w:bCs/>
          <w:sz w:val="24"/>
        </w:rPr>
        <w:t>8</w:t>
      </w:r>
      <w:r>
        <w:rPr>
          <w:rFonts w:hint="eastAsia"/>
          <w:bCs/>
          <w:sz w:val="24"/>
        </w:rPr>
        <w:t>．本基金投资存托凭证的估值核算，依照境内上市交易的股票执行。</w:t>
      </w:r>
    </w:p>
    <w:p w:rsidR="002F4F6D" w:rsidRDefault="007A5871">
      <w:pPr>
        <w:spacing w:line="360" w:lineRule="auto"/>
        <w:ind w:firstLineChars="200" w:firstLine="480"/>
        <w:rPr>
          <w:bCs/>
          <w:sz w:val="24"/>
        </w:rPr>
      </w:pPr>
      <w:r>
        <w:rPr>
          <w:rFonts w:hint="eastAsia"/>
          <w:bCs/>
          <w:sz w:val="24"/>
        </w:rPr>
        <w:t>9</w:t>
      </w:r>
      <w:r>
        <w:rPr>
          <w:rFonts w:hint="eastAsia"/>
          <w:bCs/>
          <w:sz w:val="24"/>
        </w:rPr>
        <w:t>．本基金参与融资业务的，按照相关法律法规、监管部门和行业协会的相关规定进行估值。</w:t>
      </w:r>
    </w:p>
    <w:p w:rsidR="002F4F6D" w:rsidRDefault="007A5871">
      <w:pPr>
        <w:spacing w:line="360" w:lineRule="auto"/>
        <w:ind w:firstLineChars="200" w:firstLine="480"/>
        <w:rPr>
          <w:bCs/>
          <w:sz w:val="24"/>
        </w:rPr>
      </w:pPr>
      <w:r>
        <w:rPr>
          <w:bCs/>
          <w:sz w:val="24"/>
        </w:rPr>
        <w:t>10</w:t>
      </w:r>
      <w:r>
        <w:rPr>
          <w:rFonts w:hint="eastAsia"/>
          <w:bCs/>
          <w:sz w:val="24"/>
        </w:rPr>
        <w:t>．如有确凿证据表明按上述方法进行估值不能客观反映其公允价值的，基金管理人可根据具体情况与基金托管人商定后，按最能反映公允价值的价格估值。</w:t>
      </w:r>
    </w:p>
    <w:p w:rsidR="002F4F6D" w:rsidRDefault="007A5871">
      <w:pPr>
        <w:spacing w:line="360" w:lineRule="auto"/>
        <w:ind w:firstLineChars="200" w:firstLine="480"/>
        <w:rPr>
          <w:rFonts w:asciiTheme="minorEastAsia" w:hAnsiTheme="minorEastAsia"/>
          <w:bCs/>
          <w:sz w:val="24"/>
        </w:rPr>
      </w:pPr>
      <w:r>
        <w:rPr>
          <w:bCs/>
          <w:sz w:val="24"/>
        </w:rPr>
        <w:t>11</w:t>
      </w:r>
      <w:r>
        <w:rPr>
          <w:rFonts w:hint="eastAsia"/>
          <w:bCs/>
          <w:sz w:val="24"/>
        </w:rPr>
        <w:t>．相关法律法规以及监管部门有强制规定的，从其规定。如有新增事项，按国家最新规定估值。</w:t>
      </w:r>
    </w:p>
    <w:p w:rsidR="002F4F6D" w:rsidRDefault="007A5871">
      <w:pPr>
        <w:spacing w:line="360" w:lineRule="auto"/>
        <w:ind w:firstLineChars="200" w:firstLine="480"/>
        <w:rPr>
          <w:rFonts w:asciiTheme="minorEastAsia" w:hAnsiTheme="minorEastAsia"/>
          <w:bCs/>
          <w:sz w:val="24"/>
        </w:rPr>
      </w:pPr>
      <w:r>
        <w:rPr>
          <w:rFonts w:asciiTheme="minorEastAsia" w:hAnsiTheme="minorEastAsia"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2F4F6D" w:rsidRDefault="007A5871">
      <w:pPr>
        <w:spacing w:line="360" w:lineRule="auto"/>
        <w:ind w:firstLineChars="200" w:firstLine="480"/>
        <w:rPr>
          <w:rFonts w:asciiTheme="minorEastAsia" w:hAnsiTheme="minorEastAsia"/>
          <w:bCs/>
          <w:sz w:val="24"/>
        </w:rPr>
      </w:pPr>
      <w:r>
        <w:rPr>
          <w:rFonts w:asciiTheme="minorEastAsia" w:hAnsiTheme="minorEastAsia"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加盖公章的书面说明后，按照基金管理人对基金净值信息的计算结果对外予以公布。</w:t>
      </w:r>
    </w:p>
    <w:p w:rsidR="002F4F6D" w:rsidRDefault="007A5871">
      <w:pPr>
        <w:adjustRightInd w:val="0"/>
        <w:snapToGrid w:val="0"/>
        <w:spacing w:line="360" w:lineRule="auto"/>
        <w:ind w:firstLineChars="200" w:firstLine="480"/>
        <w:rPr>
          <w:rStyle w:val="read"/>
          <w:rFonts w:asciiTheme="minorEastAsia" w:hAnsiTheme="minorEastAsia"/>
          <w:sz w:val="24"/>
        </w:rPr>
      </w:pPr>
      <w:r>
        <w:rPr>
          <w:rStyle w:val="read"/>
          <w:rFonts w:asciiTheme="minorEastAsia" w:hAnsiTheme="minorEastAsia" w:cs="Arial" w:hint="eastAsia"/>
          <w:sz w:val="24"/>
        </w:rPr>
        <w:t>基金管理人、基金托管人按估值方法的第</w:t>
      </w:r>
      <w:r>
        <w:rPr>
          <w:rStyle w:val="read"/>
          <w:rFonts w:asciiTheme="minorEastAsia" w:hAnsiTheme="minorEastAsia" w:cs="Arial"/>
          <w:sz w:val="24"/>
        </w:rPr>
        <w:t>10</w:t>
      </w:r>
      <w:r>
        <w:rPr>
          <w:rStyle w:val="read"/>
          <w:rFonts w:asciiTheme="minorEastAsia" w:hAnsiTheme="minorEastAsia" w:cs="Arial" w:hint="eastAsia"/>
          <w:sz w:val="24"/>
        </w:rPr>
        <w:t>项进行估值时，所造成的误差不作为基金份</w:t>
      </w:r>
      <w:r>
        <w:rPr>
          <w:rStyle w:val="read"/>
          <w:rFonts w:asciiTheme="minorEastAsia" w:hAnsiTheme="minorEastAsia" w:hint="eastAsia"/>
          <w:sz w:val="24"/>
        </w:rPr>
        <w:t>额净值错误处理。</w:t>
      </w:r>
    </w:p>
    <w:p w:rsidR="002F4F6D" w:rsidRDefault="007A5871">
      <w:pPr>
        <w:adjustRightInd w:val="0"/>
        <w:snapToGrid w:val="0"/>
        <w:spacing w:line="360" w:lineRule="auto"/>
        <w:ind w:firstLineChars="200" w:firstLine="480"/>
        <w:rPr>
          <w:rStyle w:val="read"/>
          <w:rFonts w:asciiTheme="minorEastAsia" w:hAnsiTheme="minorEastAsia"/>
          <w:sz w:val="24"/>
        </w:rPr>
      </w:pPr>
      <w:r>
        <w:rPr>
          <w:rStyle w:val="read"/>
          <w:rFonts w:asciiTheme="minorEastAsia" w:hAnsiTheme="minorEastAsia" w:hint="eastAsia"/>
          <w:sz w:val="24"/>
        </w:rPr>
        <w:t>（三）基金份额净值错误的处理方式</w:t>
      </w:r>
    </w:p>
    <w:p w:rsidR="002F4F6D" w:rsidRDefault="007A5871">
      <w:pPr>
        <w:adjustRightInd w:val="0"/>
        <w:snapToGrid w:val="0"/>
        <w:spacing w:line="360" w:lineRule="auto"/>
        <w:ind w:firstLineChars="200" w:firstLine="480"/>
        <w:rPr>
          <w:rStyle w:val="read"/>
          <w:rFonts w:asciiTheme="minorEastAsia" w:hAnsiTheme="minorEastAsia"/>
          <w:sz w:val="24"/>
        </w:rPr>
      </w:pPr>
      <w:r>
        <w:rPr>
          <w:rStyle w:val="read"/>
          <w:rFonts w:asciiTheme="minorEastAsia" w:hAnsiTheme="minorEastAsia" w:hint="eastAsia"/>
          <w:sz w:val="24"/>
        </w:rPr>
        <w:t>1. 当任一类基金份额净值小数点后4位以内(含第4位)发生估值错误时，视为该类基金份额净值错误；基金份额净值出现错误时，基金管理人应当立即予以纠正，通报基金托管人，并采取合理的措施防止损失进一步扩大；</w:t>
      </w:r>
    </w:p>
    <w:p w:rsidR="002F4F6D" w:rsidRDefault="007A5871">
      <w:pPr>
        <w:adjustRightInd w:val="0"/>
        <w:snapToGrid w:val="0"/>
        <w:spacing w:line="360" w:lineRule="auto"/>
        <w:ind w:firstLineChars="200" w:firstLine="480"/>
        <w:rPr>
          <w:rStyle w:val="read"/>
          <w:rFonts w:asciiTheme="minorEastAsia" w:hAnsiTheme="minorEastAsia"/>
          <w:sz w:val="24"/>
        </w:rPr>
      </w:pPr>
      <w:r>
        <w:rPr>
          <w:rStyle w:val="read"/>
          <w:rFonts w:asciiTheme="minorEastAsia" w:hAnsiTheme="minorEastAsia" w:hint="eastAsia"/>
          <w:sz w:val="24"/>
        </w:rPr>
        <w:t>错误偏差达到该类基金份额净值的0.25%时，基金管理人应当通报基金托管人并报中国证监会备案</w:t>
      </w:r>
      <w:r>
        <w:rPr>
          <w:rFonts w:asciiTheme="minorEastAsia" w:hAnsiTheme="minorEastAsia" w:cs="Arial" w:hint="eastAsia"/>
          <w:sz w:val="24"/>
        </w:rPr>
        <w:t>；错误偏差达到该类基金份额净值的</w:t>
      </w:r>
      <w:r>
        <w:rPr>
          <w:rFonts w:asciiTheme="minorEastAsia" w:hAnsiTheme="minorEastAsia" w:hint="eastAsia"/>
          <w:sz w:val="24"/>
        </w:rPr>
        <w:t>0.5%时，基金管理人应当公告</w:t>
      </w:r>
      <w:r>
        <w:rPr>
          <w:rStyle w:val="read"/>
          <w:rFonts w:asciiTheme="minorEastAsia" w:hAnsiTheme="minorEastAsia" w:hint="eastAsia"/>
          <w:sz w:val="24"/>
        </w:rPr>
        <w:t>；当发生净值计算错误时，由基金管理人负责处理，由此给基金份额持有人和基金造成损失的，应由基金管理人先行赔付，基金管理人按差错情形，有权向其他当事人追偿。</w:t>
      </w:r>
    </w:p>
    <w:p w:rsidR="002F4F6D" w:rsidRDefault="007A5871">
      <w:pPr>
        <w:adjustRightInd w:val="0"/>
        <w:snapToGrid w:val="0"/>
        <w:spacing w:line="360" w:lineRule="auto"/>
        <w:ind w:firstLineChars="200" w:firstLine="480"/>
        <w:rPr>
          <w:rStyle w:val="read"/>
          <w:rFonts w:asciiTheme="minorEastAsia" w:hAnsiTheme="minorEastAsia"/>
          <w:sz w:val="24"/>
        </w:rPr>
      </w:pPr>
      <w:r>
        <w:rPr>
          <w:rStyle w:val="read"/>
          <w:rFonts w:asciiTheme="minorEastAsia" w:hAnsiTheme="minorEastAsia" w:hint="eastAsia"/>
          <w:sz w:val="24"/>
        </w:rPr>
        <w:lastRenderedPageBreak/>
        <w:t>2.当基金份额净值计算差错给基金和基金份额持有人造成损失需要进行赔偿时，基金管理人和基金托管人应根据实际情况界定双方承担的责任，经确认后按以下条款进行赔偿：</w:t>
      </w:r>
    </w:p>
    <w:p w:rsidR="002F4F6D" w:rsidRDefault="007A5871">
      <w:pPr>
        <w:adjustRightInd w:val="0"/>
        <w:snapToGrid w:val="0"/>
        <w:spacing w:line="360" w:lineRule="auto"/>
        <w:ind w:firstLineChars="200" w:firstLine="480"/>
        <w:rPr>
          <w:rFonts w:asciiTheme="minorEastAsia" w:hAnsiTheme="minorEastAsia" w:cs="Arial"/>
          <w:sz w:val="24"/>
        </w:rPr>
      </w:pPr>
      <w:r>
        <w:rPr>
          <w:rStyle w:val="read"/>
          <w:rFonts w:asciiTheme="minorEastAsia" w:hAnsiTheme="minorEastAsia"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Pr>
          <w:rFonts w:asciiTheme="minorEastAsia" w:hAnsiTheme="minorEastAsia" w:cs="Arial" w:hint="eastAsia"/>
          <w:sz w:val="24"/>
        </w:rPr>
        <w:t>损失，由基金管理人负责赔付。</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(2)</w:t>
      </w:r>
      <w:proofErr w:type="gramStart"/>
      <w:r>
        <w:rPr>
          <w:rFonts w:asciiTheme="minorEastAsia" w:hAnsiTheme="minorEastAsia" w:hint="eastAsia"/>
          <w:kern w:val="0"/>
          <w:sz w:val="24"/>
        </w:rPr>
        <w:t>若基金</w:t>
      </w:r>
      <w:proofErr w:type="gramEnd"/>
      <w:r>
        <w:rPr>
          <w:rFonts w:asciiTheme="minorEastAsia" w:hAnsiTheme="minorEastAsia"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(4)</w:t>
      </w:r>
      <w:r>
        <w:rPr>
          <w:rFonts w:asciiTheme="minorEastAsia" w:hAnsiTheme="minorEastAsia"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3.由于证券交易所、期货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4.基金管理人和基金托管人由于各自技术系统设置而产生的净值计算尾差，以基金管理人计算结果为准。</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5.前述内容如法律法规或者监管部门另有规定的，从其规定。如果行业另有通行做法，双方当事人应本着平等和保护基金份额持有人利益的原则进行协商。</w:t>
      </w:r>
    </w:p>
    <w:p w:rsidR="002F4F6D" w:rsidRDefault="007A5871">
      <w:pPr>
        <w:adjustRightInd w:val="0"/>
        <w:snapToGrid w:val="0"/>
        <w:spacing w:line="360" w:lineRule="auto"/>
        <w:ind w:firstLineChars="200" w:firstLine="480"/>
        <w:outlineLvl w:val="0"/>
        <w:rPr>
          <w:rFonts w:asciiTheme="minorEastAsia" w:hAnsiTheme="minorEastAsia" w:cs="Arial"/>
          <w:sz w:val="24"/>
        </w:rPr>
      </w:pPr>
      <w:r>
        <w:rPr>
          <w:rFonts w:asciiTheme="minorEastAsia" w:hAnsiTheme="minorEastAsia" w:cs="Arial" w:hint="eastAsia"/>
          <w:sz w:val="24"/>
        </w:rPr>
        <w:t>（四）暂停估值与公告基金份额净值的情形</w:t>
      </w:r>
    </w:p>
    <w:p w:rsidR="002F4F6D" w:rsidRDefault="007A5871">
      <w:pPr>
        <w:adjustRightInd w:val="0"/>
        <w:snapToGrid w:val="0"/>
        <w:spacing w:line="360" w:lineRule="auto"/>
        <w:ind w:firstLineChars="200" w:firstLine="480"/>
        <w:outlineLvl w:val="0"/>
        <w:rPr>
          <w:rFonts w:asciiTheme="minorEastAsia" w:hAnsiTheme="minorEastAsia" w:cs="Arial"/>
          <w:sz w:val="24"/>
        </w:rPr>
      </w:pPr>
      <w:r>
        <w:rPr>
          <w:rFonts w:asciiTheme="minorEastAsia" w:hAnsiTheme="minorEastAsia" w:cs="Arial" w:hint="eastAsia"/>
          <w:sz w:val="24"/>
        </w:rPr>
        <w:t>1.基金投资所涉及的证券、期货交易市场遇法定节假日或因其他原因暂停营业时；</w:t>
      </w:r>
    </w:p>
    <w:p w:rsidR="002F4F6D" w:rsidRDefault="007A5871">
      <w:pPr>
        <w:adjustRightInd w:val="0"/>
        <w:snapToGrid w:val="0"/>
        <w:spacing w:line="360" w:lineRule="auto"/>
        <w:ind w:firstLineChars="200" w:firstLine="480"/>
        <w:outlineLvl w:val="0"/>
        <w:rPr>
          <w:rFonts w:asciiTheme="minorEastAsia" w:hAnsiTheme="minorEastAsia" w:cs="Arial"/>
          <w:sz w:val="24"/>
        </w:rPr>
      </w:pPr>
      <w:r>
        <w:rPr>
          <w:rFonts w:asciiTheme="minorEastAsia" w:hAnsiTheme="minorEastAsia" w:cs="Arial" w:hint="eastAsia"/>
          <w:sz w:val="24"/>
        </w:rPr>
        <w:lastRenderedPageBreak/>
        <w:t>2.因不可抗力致使基金管理人、基金托管人无法准确评估基金资产价值时；</w:t>
      </w:r>
    </w:p>
    <w:p w:rsidR="002F4F6D" w:rsidRDefault="007A5871">
      <w:pPr>
        <w:adjustRightInd w:val="0"/>
        <w:snapToGrid w:val="0"/>
        <w:spacing w:line="360" w:lineRule="auto"/>
        <w:ind w:firstLineChars="200" w:firstLine="480"/>
        <w:outlineLvl w:val="0"/>
        <w:rPr>
          <w:rFonts w:asciiTheme="minorEastAsia" w:hAnsiTheme="minorEastAsia" w:cs="Arial"/>
          <w:bCs/>
          <w:sz w:val="24"/>
        </w:rPr>
      </w:pPr>
      <w:r>
        <w:rPr>
          <w:rFonts w:asciiTheme="minorEastAsia" w:hAnsiTheme="minorEastAsia" w:cs="Arial" w:hint="eastAsia"/>
          <w:bCs/>
          <w:sz w:val="24"/>
        </w:rPr>
        <w:t>3、经与基金托管人协商确认，当特定资产占前一估值日基金资产净值50%以上的，基金管理人应当暂停基金估值；</w:t>
      </w:r>
    </w:p>
    <w:p w:rsidR="002F4F6D" w:rsidRDefault="007A5871">
      <w:pPr>
        <w:adjustRightInd w:val="0"/>
        <w:snapToGrid w:val="0"/>
        <w:spacing w:line="360" w:lineRule="auto"/>
        <w:ind w:firstLineChars="200" w:firstLine="480"/>
        <w:outlineLvl w:val="0"/>
        <w:rPr>
          <w:rFonts w:asciiTheme="minorEastAsia" w:hAnsiTheme="minorEastAsia" w:cs="Arial"/>
          <w:sz w:val="24"/>
        </w:rPr>
      </w:pPr>
      <w:r>
        <w:rPr>
          <w:rFonts w:asciiTheme="minorEastAsia" w:hAnsiTheme="minorEastAsia" w:cs="Arial" w:hint="eastAsia"/>
          <w:sz w:val="24"/>
        </w:rPr>
        <w:t>4.中国证监会和基金合同认定的其它情形。</w:t>
      </w:r>
    </w:p>
    <w:p w:rsidR="002F4F6D" w:rsidRDefault="007A5871">
      <w:pPr>
        <w:adjustRightInd w:val="0"/>
        <w:snapToGrid w:val="0"/>
        <w:spacing w:line="360" w:lineRule="auto"/>
        <w:ind w:firstLineChars="200" w:firstLine="480"/>
        <w:outlineLvl w:val="0"/>
        <w:rPr>
          <w:rFonts w:asciiTheme="minorEastAsia" w:hAnsiTheme="minorEastAsia" w:cs="Arial"/>
          <w:sz w:val="24"/>
        </w:rPr>
      </w:pPr>
      <w:r>
        <w:rPr>
          <w:rFonts w:asciiTheme="minorEastAsia" w:hAnsiTheme="minorEastAsia" w:cs="Arial" w:hint="eastAsia"/>
          <w:sz w:val="24"/>
        </w:rPr>
        <w:t>（五）基金会计制度</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按国家有关部门规定的会计制度执行。</w:t>
      </w:r>
    </w:p>
    <w:p w:rsidR="002F4F6D" w:rsidRDefault="007A5871">
      <w:pPr>
        <w:adjustRightInd w:val="0"/>
        <w:snapToGrid w:val="0"/>
        <w:spacing w:line="360" w:lineRule="auto"/>
        <w:ind w:firstLineChars="200" w:firstLine="480"/>
        <w:outlineLvl w:val="0"/>
        <w:rPr>
          <w:rFonts w:asciiTheme="minorEastAsia" w:hAnsiTheme="minorEastAsia" w:cs="Arial"/>
          <w:sz w:val="24"/>
        </w:rPr>
      </w:pPr>
      <w:r>
        <w:rPr>
          <w:rFonts w:asciiTheme="minorEastAsia" w:hAnsiTheme="minorEastAsia" w:cs="Arial" w:hint="eastAsia"/>
          <w:sz w:val="24"/>
        </w:rPr>
        <w:t>（六）基金账册的建立</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基金管理人进行基金会计核算并编制基金财务会计报告。基金管理人独立地设置、记录和保管本基金的全套账册。</w:t>
      </w:r>
      <w:proofErr w:type="gramStart"/>
      <w:r>
        <w:rPr>
          <w:rFonts w:asciiTheme="minorEastAsia" w:hAnsiTheme="minorEastAsia" w:cs="Arial" w:hint="eastAsia"/>
          <w:sz w:val="24"/>
        </w:rPr>
        <w:t>若基金</w:t>
      </w:r>
      <w:proofErr w:type="gramEnd"/>
      <w:r>
        <w:rPr>
          <w:rFonts w:asciiTheme="minorEastAsia" w:hAnsiTheme="minorEastAsia"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2F4F6D" w:rsidRDefault="007A5871">
      <w:pPr>
        <w:adjustRightInd w:val="0"/>
        <w:snapToGrid w:val="0"/>
        <w:spacing w:line="360" w:lineRule="auto"/>
        <w:ind w:firstLineChars="200" w:firstLine="480"/>
        <w:outlineLvl w:val="0"/>
        <w:rPr>
          <w:rFonts w:asciiTheme="minorEastAsia" w:hAnsiTheme="minorEastAsia" w:cs="Arial"/>
          <w:sz w:val="24"/>
        </w:rPr>
      </w:pPr>
      <w:r>
        <w:rPr>
          <w:rFonts w:asciiTheme="minorEastAsia" w:hAnsiTheme="minorEastAsia" w:cs="Arial" w:hint="eastAsia"/>
          <w:sz w:val="24"/>
        </w:rPr>
        <w:t>（七）基金财务报表与报告的编制和复核</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1.财务报表的编制</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基金财务报表由基金管理人编制，基金托管人复核。</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2.报表复核</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基金托管人在收到基金管理人编制的基金财务报表后，进行独立的复核。核对不符时，应及时通知基金管理人共同查出原因，进行调整，直至双方数据完全一致。</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3.财务报表的编制与复核时间安排</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(1)报表的编制</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的财务会计报告应当经过具有证券、期货相关业务资格的会计事务所审计。《基金合同》生效不足两个月的，基金管理人可以不编制当期季度报告、中期报告或者年度报告。</w:t>
      </w:r>
    </w:p>
    <w:p w:rsidR="002F4F6D" w:rsidRDefault="007A5871">
      <w:pPr>
        <w:pStyle w:val="a0"/>
        <w:adjustRightInd w:val="0"/>
        <w:snapToGrid w:val="0"/>
        <w:spacing w:line="360" w:lineRule="auto"/>
        <w:ind w:firstLine="480"/>
        <w:rPr>
          <w:rFonts w:asciiTheme="minorEastAsia" w:eastAsiaTheme="minorEastAsia" w:hAnsiTheme="minorEastAsia" w:cs="Arial"/>
          <w:sz w:val="24"/>
        </w:rPr>
      </w:pPr>
      <w:r>
        <w:rPr>
          <w:rFonts w:asciiTheme="minorEastAsia" w:eastAsiaTheme="minorEastAsia" w:hAnsiTheme="minorEastAsia" w:cs="Arial" w:hint="eastAsia"/>
          <w:sz w:val="24"/>
        </w:rPr>
        <w:t>(2)报表的复核</w:t>
      </w:r>
    </w:p>
    <w:p w:rsidR="002F4F6D" w:rsidRDefault="007A5871">
      <w:pPr>
        <w:pStyle w:val="a0"/>
        <w:adjustRightInd w:val="0"/>
        <w:snapToGrid w:val="0"/>
        <w:spacing w:line="360" w:lineRule="auto"/>
        <w:ind w:firstLine="480"/>
        <w:rPr>
          <w:rFonts w:asciiTheme="minorEastAsia" w:eastAsiaTheme="minorEastAsia" w:hAnsiTheme="minorEastAsia" w:cs="Arial"/>
          <w:sz w:val="24"/>
        </w:rPr>
      </w:pPr>
      <w:r>
        <w:rPr>
          <w:rFonts w:asciiTheme="minorEastAsia" w:eastAsiaTheme="minorEastAsia" w:hAnsiTheme="minorEastAsia"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2F4F6D" w:rsidRDefault="007A5871">
      <w:pPr>
        <w:pStyle w:val="a0"/>
        <w:adjustRightInd w:val="0"/>
        <w:snapToGrid w:val="0"/>
        <w:spacing w:line="360" w:lineRule="auto"/>
        <w:ind w:firstLine="480"/>
        <w:rPr>
          <w:rFonts w:asciiTheme="minorEastAsia" w:eastAsiaTheme="minorEastAsia" w:hAnsiTheme="minorEastAsia" w:cs="Arial"/>
          <w:sz w:val="24"/>
        </w:rPr>
      </w:pPr>
      <w:r>
        <w:rPr>
          <w:rFonts w:asciiTheme="minorEastAsia" w:eastAsiaTheme="minorEastAsia" w:hAnsiTheme="minorEastAsia" w:cs="Arial" w:hint="eastAsia"/>
          <w:sz w:val="24"/>
        </w:rPr>
        <w:t>基金管理人应留足充分的时间，便于基金托管人复核相关报表及报告。</w:t>
      </w:r>
    </w:p>
    <w:p w:rsidR="002F4F6D" w:rsidRDefault="007A5871">
      <w:pPr>
        <w:pStyle w:val="a0"/>
        <w:adjustRightInd w:val="0"/>
        <w:snapToGrid w:val="0"/>
        <w:spacing w:line="360" w:lineRule="auto"/>
        <w:ind w:firstLine="480"/>
        <w:rPr>
          <w:rFonts w:asciiTheme="minorEastAsia" w:eastAsiaTheme="minorEastAsia" w:hAnsiTheme="minorEastAsia" w:cs="Arial"/>
          <w:sz w:val="24"/>
        </w:rPr>
      </w:pPr>
      <w:r>
        <w:rPr>
          <w:rFonts w:asciiTheme="minorEastAsia" w:eastAsiaTheme="minorEastAsia" w:hAnsiTheme="minorEastAsia" w:cs="Arial" w:hint="eastAsia"/>
          <w:sz w:val="24"/>
        </w:rPr>
        <w:lastRenderedPageBreak/>
        <w:t>（八）基金管理人应在编制季度报告、中期报告或者年度报告之前及时向基金托管人提供基金业绩比较基准的基础数据和编制结果。</w:t>
      </w:r>
    </w:p>
    <w:p w:rsidR="002F4F6D" w:rsidRDefault="007A5871">
      <w:pPr>
        <w:spacing w:line="360" w:lineRule="auto"/>
        <w:ind w:firstLineChars="200" w:firstLine="480"/>
        <w:rPr>
          <w:sz w:val="24"/>
        </w:rPr>
      </w:pPr>
      <w:r>
        <w:rPr>
          <w:rFonts w:hint="eastAsia"/>
          <w:sz w:val="24"/>
        </w:rPr>
        <w:t>（九）实施</w:t>
      </w:r>
      <w:proofErr w:type="gramStart"/>
      <w:r>
        <w:rPr>
          <w:rFonts w:hint="eastAsia"/>
          <w:sz w:val="24"/>
        </w:rPr>
        <w:t>侧袋机制</w:t>
      </w:r>
      <w:proofErr w:type="gramEnd"/>
      <w:r>
        <w:rPr>
          <w:rFonts w:hint="eastAsia"/>
          <w:sz w:val="24"/>
        </w:rPr>
        <w:t>期间的基金资产估值</w:t>
      </w:r>
    </w:p>
    <w:p w:rsidR="002F4F6D" w:rsidRDefault="007A5871">
      <w:pPr>
        <w:spacing w:line="360" w:lineRule="auto"/>
        <w:ind w:firstLineChars="200" w:firstLine="480"/>
        <w:rPr>
          <w:bCs/>
          <w:sz w:val="24"/>
        </w:rPr>
      </w:pPr>
      <w:r>
        <w:rPr>
          <w:rFonts w:hint="eastAsia"/>
          <w:sz w:val="24"/>
        </w:rPr>
        <w:t>本基金实施</w:t>
      </w:r>
      <w:proofErr w:type="gramStart"/>
      <w:r>
        <w:rPr>
          <w:rFonts w:hint="eastAsia"/>
          <w:sz w:val="24"/>
        </w:rPr>
        <w:t>侧袋机制</w:t>
      </w:r>
      <w:proofErr w:type="gramEnd"/>
      <w:r>
        <w:rPr>
          <w:rFonts w:hint="eastAsia"/>
          <w:sz w:val="24"/>
        </w:rPr>
        <w:t>的，应根据本部分的约定</w:t>
      </w:r>
      <w:proofErr w:type="gramStart"/>
      <w:r>
        <w:rPr>
          <w:rFonts w:hint="eastAsia"/>
          <w:sz w:val="24"/>
        </w:rPr>
        <w:t>对主袋账户</w:t>
      </w:r>
      <w:proofErr w:type="gramEnd"/>
      <w:r>
        <w:rPr>
          <w:rFonts w:hint="eastAsia"/>
          <w:sz w:val="24"/>
        </w:rPr>
        <w:t>资产进行估值并</w:t>
      </w:r>
      <w:proofErr w:type="gramStart"/>
      <w:r>
        <w:rPr>
          <w:rFonts w:hint="eastAsia"/>
          <w:sz w:val="24"/>
        </w:rPr>
        <w:t>披露主袋账户</w:t>
      </w:r>
      <w:proofErr w:type="gramEnd"/>
      <w:r>
        <w:rPr>
          <w:rFonts w:hint="eastAsia"/>
          <w:sz w:val="24"/>
        </w:rPr>
        <w:t>的基金净值信息，暂停</w:t>
      </w:r>
      <w:proofErr w:type="gramStart"/>
      <w:r>
        <w:rPr>
          <w:rFonts w:hint="eastAsia"/>
          <w:sz w:val="24"/>
        </w:rPr>
        <w:t>披露侧袋账户</w:t>
      </w:r>
      <w:proofErr w:type="gramEnd"/>
      <w:r>
        <w:rPr>
          <w:rFonts w:hint="eastAsia"/>
          <w:sz w:val="24"/>
        </w:rPr>
        <w:t>份额净值。</w:t>
      </w:r>
    </w:p>
    <w:p w:rsidR="002F4F6D" w:rsidRDefault="002F4F6D">
      <w:pPr>
        <w:pStyle w:val="a0"/>
        <w:adjustRightInd w:val="0"/>
        <w:snapToGrid w:val="0"/>
        <w:spacing w:line="360" w:lineRule="auto"/>
        <w:ind w:firstLine="480"/>
        <w:rPr>
          <w:rFonts w:asciiTheme="minorEastAsia" w:eastAsiaTheme="minorEastAsia" w:hAnsiTheme="minorEastAsia" w:cs="Arial"/>
          <w:sz w:val="24"/>
        </w:rPr>
      </w:pPr>
    </w:p>
    <w:p w:rsidR="002F4F6D" w:rsidRDefault="007A5871">
      <w:pPr>
        <w:pStyle w:val="2"/>
        <w:spacing w:line="360" w:lineRule="auto"/>
        <w:jc w:val="center"/>
        <w:rPr>
          <w:rFonts w:asciiTheme="minorEastAsia" w:eastAsiaTheme="minorEastAsia" w:hAnsiTheme="minorEastAsia"/>
          <w:sz w:val="30"/>
        </w:rPr>
      </w:pPr>
      <w:bookmarkStart w:id="87" w:name="_Toc124325893"/>
      <w:r>
        <w:rPr>
          <w:rFonts w:asciiTheme="minorEastAsia" w:eastAsiaTheme="minorEastAsia" w:hAnsiTheme="minorEastAsia" w:hint="eastAsia"/>
          <w:sz w:val="30"/>
        </w:rPr>
        <w:t>九、基金收益分配</w:t>
      </w:r>
      <w:bookmarkEnd w:id="87"/>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基金收益分配是指按规定将基金的可分配收益按基金份额进行比例分配。</w:t>
      </w:r>
    </w:p>
    <w:p w:rsidR="002F4F6D" w:rsidRDefault="007A5871">
      <w:pPr>
        <w:adjustRightInd w:val="0"/>
        <w:snapToGrid w:val="0"/>
        <w:spacing w:line="360" w:lineRule="auto"/>
        <w:ind w:firstLineChars="200" w:firstLine="480"/>
        <w:outlineLvl w:val="0"/>
        <w:rPr>
          <w:rFonts w:asciiTheme="minorEastAsia" w:hAnsiTheme="minorEastAsia" w:cs="Arial"/>
          <w:sz w:val="24"/>
        </w:rPr>
      </w:pPr>
      <w:r>
        <w:rPr>
          <w:rFonts w:asciiTheme="minorEastAsia" w:hAnsiTheme="minorEastAsia" w:cs="Arial" w:hint="eastAsia"/>
          <w:sz w:val="24"/>
        </w:rPr>
        <w:t>（一）基金收益分配的原则</w:t>
      </w:r>
    </w:p>
    <w:p w:rsidR="002F4F6D" w:rsidRDefault="007A5871">
      <w:pPr>
        <w:adjustRightInd w:val="0"/>
        <w:snapToGrid w:val="0"/>
        <w:spacing w:line="360" w:lineRule="auto"/>
        <w:ind w:firstLineChars="200" w:firstLine="480"/>
        <w:outlineLvl w:val="0"/>
        <w:rPr>
          <w:rFonts w:asciiTheme="minorEastAsia" w:hAnsiTheme="minorEastAsia" w:cs="Arial"/>
          <w:sz w:val="24"/>
        </w:rPr>
      </w:pPr>
      <w:r>
        <w:rPr>
          <w:rFonts w:asciiTheme="minorEastAsia" w:hAnsiTheme="minorEastAsia" w:cs="Arial"/>
          <w:sz w:val="24"/>
        </w:rPr>
        <w:t>1</w:t>
      </w:r>
      <w:r>
        <w:rPr>
          <w:rFonts w:asciiTheme="minorEastAsia" w:hAnsiTheme="minorEastAsia" w:cs="Arial" w:hint="eastAsia"/>
          <w:sz w:val="24"/>
        </w:rPr>
        <w:t>．在符合有关基金分红条件的前提下，基金管理人可以根据实际情况进行收益分配，具体分配方案以公告为准，若《基金合同》生效不满</w:t>
      </w:r>
      <w:r>
        <w:rPr>
          <w:rFonts w:asciiTheme="minorEastAsia" w:hAnsiTheme="minorEastAsia" w:cs="Arial"/>
          <w:sz w:val="24"/>
        </w:rPr>
        <w:t>3</w:t>
      </w:r>
      <w:r>
        <w:rPr>
          <w:rFonts w:asciiTheme="minorEastAsia" w:hAnsiTheme="minorEastAsia" w:cs="Arial" w:hint="eastAsia"/>
          <w:sz w:val="24"/>
        </w:rPr>
        <w:t>个月可不进行收益分配；</w:t>
      </w:r>
    </w:p>
    <w:p w:rsidR="002F4F6D" w:rsidRDefault="007A5871">
      <w:pPr>
        <w:adjustRightInd w:val="0"/>
        <w:snapToGrid w:val="0"/>
        <w:spacing w:line="360" w:lineRule="auto"/>
        <w:ind w:firstLineChars="200" w:firstLine="480"/>
        <w:outlineLvl w:val="0"/>
        <w:rPr>
          <w:rFonts w:asciiTheme="minorEastAsia" w:hAnsiTheme="minorEastAsia" w:cs="Arial"/>
          <w:sz w:val="24"/>
        </w:rPr>
      </w:pPr>
      <w:r>
        <w:rPr>
          <w:rFonts w:asciiTheme="minorEastAsia" w:hAnsiTheme="minorEastAsia" w:cs="Arial"/>
          <w:sz w:val="24"/>
        </w:rPr>
        <w:t>2</w:t>
      </w:r>
      <w:r>
        <w:rPr>
          <w:rFonts w:asciiTheme="minorEastAsia" w:hAnsiTheme="minorEastAsia" w:cs="Arial" w:hint="eastAsia"/>
          <w:sz w:val="24"/>
        </w:rPr>
        <w:t xml:space="preserve">．本基金收益分配方式分两种：现金分红与红利再投资，投资者可选择现金红利或将现金红利自动转为相应类别的基金份额进行再投资；若投资者不选择，本基金默认的收益分配方式是现金分红； </w:t>
      </w:r>
    </w:p>
    <w:p w:rsidR="002F4F6D" w:rsidRDefault="007A5871">
      <w:pPr>
        <w:adjustRightInd w:val="0"/>
        <w:snapToGrid w:val="0"/>
        <w:spacing w:line="360" w:lineRule="auto"/>
        <w:ind w:firstLineChars="200" w:firstLine="480"/>
        <w:outlineLvl w:val="0"/>
        <w:rPr>
          <w:rFonts w:asciiTheme="minorEastAsia" w:hAnsiTheme="minorEastAsia" w:cs="Arial"/>
          <w:sz w:val="24"/>
        </w:rPr>
      </w:pPr>
      <w:r>
        <w:rPr>
          <w:rFonts w:asciiTheme="minorEastAsia" w:hAnsiTheme="minorEastAsia" w:cs="Arial"/>
          <w:sz w:val="24"/>
        </w:rPr>
        <w:t>3</w:t>
      </w:r>
      <w:r>
        <w:rPr>
          <w:rFonts w:asciiTheme="minorEastAsia" w:hAnsiTheme="minorEastAsia" w:cs="Arial" w:hint="eastAsia"/>
          <w:sz w:val="24"/>
        </w:rPr>
        <w:t>．基金收益分配后各类基金份额净值不能低于面值；即基金收益分配基准日的各类基金份额净值减去该类每单位基金份额收益分配金额后不能低于面值；</w:t>
      </w:r>
    </w:p>
    <w:p w:rsidR="002F4F6D" w:rsidRDefault="007A5871">
      <w:pPr>
        <w:adjustRightInd w:val="0"/>
        <w:snapToGrid w:val="0"/>
        <w:spacing w:line="360" w:lineRule="auto"/>
        <w:ind w:firstLineChars="200" w:firstLine="480"/>
        <w:outlineLvl w:val="0"/>
        <w:rPr>
          <w:rFonts w:asciiTheme="minorEastAsia" w:hAnsiTheme="minorEastAsia" w:cs="Arial"/>
          <w:sz w:val="24"/>
        </w:rPr>
      </w:pPr>
      <w:r>
        <w:rPr>
          <w:rFonts w:asciiTheme="minorEastAsia" w:hAnsiTheme="minorEastAsia" w:cs="Arial"/>
          <w:sz w:val="24"/>
        </w:rPr>
        <w:t>4</w:t>
      </w:r>
      <w:r>
        <w:rPr>
          <w:rFonts w:asciiTheme="minorEastAsia" w:hAnsiTheme="minorEastAsia" w:cs="Arial" w:hint="eastAsia"/>
          <w:sz w:val="24"/>
        </w:rPr>
        <w:t>．由于本基金</w:t>
      </w:r>
      <w:r>
        <w:rPr>
          <w:rFonts w:asciiTheme="minorEastAsia" w:hAnsiTheme="minorEastAsia" w:cs="Arial"/>
          <w:sz w:val="24"/>
        </w:rPr>
        <w:t>A</w:t>
      </w:r>
      <w:r>
        <w:rPr>
          <w:rFonts w:asciiTheme="minorEastAsia" w:hAnsiTheme="minorEastAsia" w:cs="Arial" w:hint="eastAsia"/>
          <w:sz w:val="24"/>
        </w:rPr>
        <w:t>类基金份额不收取销售服务费，而</w:t>
      </w:r>
      <w:r>
        <w:rPr>
          <w:rFonts w:asciiTheme="minorEastAsia" w:hAnsiTheme="minorEastAsia" w:cs="Arial"/>
          <w:sz w:val="24"/>
        </w:rPr>
        <w:t>C</w:t>
      </w:r>
      <w:r>
        <w:rPr>
          <w:rFonts w:asciiTheme="minorEastAsia" w:hAnsiTheme="minorEastAsia" w:cs="Arial" w:hint="eastAsia"/>
          <w:sz w:val="24"/>
        </w:rPr>
        <w:t>类基金份额收取销售服务费，各基金份额类别对应的可分配收益将有所不同。同一类别的每一基金份额享有同等分配权；</w:t>
      </w:r>
    </w:p>
    <w:p w:rsidR="002F4F6D" w:rsidRDefault="007A5871">
      <w:pPr>
        <w:adjustRightInd w:val="0"/>
        <w:snapToGrid w:val="0"/>
        <w:spacing w:line="360" w:lineRule="auto"/>
        <w:ind w:firstLineChars="200" w:firstLine="480"/>
        <w:outlineLvl w:val="0"/>
        <w:rPr>
          <w:rFonts w:asciiTheme="minorEastAsia" w:hAnsiTheme="minorEastAsia" w:cs="Arial"/>
          <w:sz w:val="24"/>
        </w:rPr>
      </w:pPr>
      <w:r>
        <w:rPr>
          <w:rFonts w:asciiTheme="minorEastAsia" w:hAnsiTheme="minorEastAsia" w:cs="Arial"/>
          <w:sz w:val="24"/>
        </w:rPr>
        <w:t>5</w:t>
      </w:r>
      <w:r>
        <w:rPr>
          <w:rFonts w:asciiTheme="minorEastAsia" w:hAnsiTheme="minorEastAsia" w:cs="Arial" w:hint="eastAsia"/>
          <w:sz w:val="24"/>
        </w:rPr>
        <w:t>．</w:t>
      </w:r>
      <w:r>
        <w:rPr>
          <w:rFonts w:hint="eastAsia"/>
          <w:bCs/>
          <w:sz w:val="24"/>
        </w:rPr>
        <w:t>因红利再投资所得的各类基金份额的持有期起始日，按原份额的持有期起始日开始计算</w:t>
      </w:r>
      <w:r>
        <w:rPr>
          <w:rFonts w:asciiTheme="minorEastAsia" w:hAnsiTheme="minorEastAsia" w:cs="Arial" w:hint="eastAsia"/>
          <w:sz w:val="24"/>
        </w:rPr>
        <w:t>，与原份额</w:t>
      </w:r>
      <w:proofErr w:type="gramStart"/>
      <w:r>
        <w:rPr>
          <w:rFonts w:asciiTheme="minorEastAsia" w:hAnsiTheme="minorEastAsia" w:cs="Arial" w:hint="eastAsia"/>
          <w:sz w:val="24"/>
        </w:rPr>
        <w:t>适用相同</w:t>
      </w:r>
      <w:proofErr w:type="gramEnd"/>
      <w:r>
        <w:rPr>
          <w:rFonts w:asciiTheme="minorEastAsia" w:hAnsiTheme="minorEastAsia" w:cs="Arial" w:hint="eastAsia"/>
          <w:sz w:val="24"/>
        </w:rPr>
        <w:t>的锁定持有期；</w:t>
      </w:r>
    </w:p>
    <w:p w:rsidR="002F4F6D" w:rsidRDefault="007A5871">
      <w:pPr>
        <w:adjustRightInd w:val="0"/>
        <w:snapToGrid w:val="0"/>
        <w:spacing w:line="360" w:lineRule="auto"/>
        <w:ind w:firstLineChars="200" w:firstLine="480"/>
        <w:outlineLvl w:val="0"/>
        <w:rPr>
          <w:rFonts w:asciiTheme="minorEastAsia" w:hAnsiTheme="minorEastAsia" w:cs="Arial"/>
          <w:sz w:val="24"/>
        </w:rPr>
      </w:pPr>
      <w:r>
        <w:rPr>
          <w:rFonts w:asciiTheme="minorEastAsia" w:hAnsiTheme="minorEastAsia" w:cs="Arial"/>
          <w:sz w:val="24"/>
        </w:rPr>
        <w:t>6</w:t>
      </w:r>
      <w:r>
        <w:rPr>
          <w:rFonts w:asciiTheme="minorEastAsia" w:hAnsiTheme="minorEastAsia" w:cs="Arial" w:hint="eastAsia"/>
          <w:sz w:val="24"/>
        </w:rPr>
        <w:t>．法律法规或监管机关另有规定的，从其规定。</w:t>
      </w:r>
    </w:p>
    <w:p w:rsidR="002F4F6D" w:rsidRDefault="007A5871">
      <w:pPr>
        <w:adjustRightInd w:val="0"/>
        <w:snapToGrid w:val="0"/>
        <w:spacing w:line="360" w:lineRule="auto"/>
        <w:ind w:firstLineChars="200" w:firstLine="480"/>
        <w:outlineLvl w:val="0"/>
        <w:rPr>
          <w:rFonts w:asciiTheme="minorEastAsia" w:hAnsiTheme="minorEastAsia" w:cs="Arial"/>
          <w:sz w:val="24"/>
        </w:rPr>
      </w:pPr>
      <w:r>
        <w:rPr>
          <w:rFonts w:asciiTheme="minorEastAsia" w:hAnsiTheme="minorEastAsia" w:cs="Arial" w:hint="eastAsia"/>
          <w:sz w:val="24"/>
        </w:rPr>
        <w:t>在符合法律法规及基金合同约定，并对基金份额持有人利益无实质性不利影响的前提下，经与基金托管人协商一致，基金管理人可对基金收益分配原则和支付方式进行调整，不需召开基金份额持有人大会。</w:t>
      </w:r>
    </w:p>
    <w:p w:rsidR="002F4F6D" w:rsidRDefault="007A5871">
      <w:pPr>
        <w:adjustRightInd w:val="0"/>
        <w:snapToGrid w:val="0"/>
        <w:spacing w:line="360" w:lineRule="auto"/>
        <w:ind w:firstLineChars="200" w:firstLine="480"/>
        <w:outlineLvl w:val="0"/>
        <w:rPr>
          <w:rFonts w:asciiTheme="minorEastAsia" w:hAnsiTheme="minorEastAsia" w:cs="Arial"/>
          <w:sz w:val="24"/>
        </w:rPr>
      </w:pPr>
      <w:r>
        <w:rPr>
          <w:rFonts w:asciiTheme="minorEastAsia" w:hAnsiTheme="minorEastAsia" w:cs="Arial" w:hint="eastAsia"/>
          <w:sz w:val="24"/>
        </w:rPr>
        <w:t>（二）基金收益分配的时间和程序</w:t>
      </w:r>
    </w:p>
    <w:p w:rsidR="002F4F6D" w:rsidRDefault="007A5871">
      <w:pPr>
        <w:adjustRightInd w:val="0"/>
        <w:snapToGrid w:val="0"/>
        <w:spacing w:line="360" w:lineRule="auto"/>
        <w:ind w:firstLineChars="200" w:firstLine="480"/>
        <w:outlineLvl w:val="0"/>
        <w:rPr>
          <w:rFonts w:asciiTheme="minorEastAsia" w:hAnsiTheme="minorEastAsia" w:cs="Arial"/>
          <w:sz w:val="24"/>
        </w:rPr>
      </w:pPr>
      <w:r>
        <w:rPr>
          <w:rFonts w:asciiTheme="minorEastAsia" w:hAnsiTheme="minorEastAsia" w:cs="Arial" w:hint="eastAsia"/>
          <w:sz w:val="24"/>
        </w:rPr>
        <w:t>本基金收益分配方案由基金管理人拟定，并由基金托管人复核，依照《信息披</w:t>
      </w:r>
      <w:r>
        <w:rPr>
          <w:rFonts w:asciiTheme="minorEastAsia" w:hAnsiTheme="minorEastAsia" w:cs="Arial" w:hint="eastAsia"/>
          <w:sz w:val="24"/>
        </w:rPr>
        <w:lastRenderedPageBreak/>
        <w:t>露办法》的有关规定在规定媒介公告。</w:t>
      </w:r>
    </w:p>
    <w:p w:rsidR="002F4F6D" w:rsidRDefault="007A5871">
      <w:pPr>
        <w:adjustRightInd w:val="0"/>
        <w:snapToGrid w:val="0"/>
        <w:spacing w:line="360" w:lineRule="auto"/>
        <w:ind w:firstLineChars="200" w:firstLine="480"/>
        <w:outlineLvl w:val="0"/>
        <w:rPr>
          <w:rFonts w:asciiTheme="minorEastAsia" w:hAnsiTheme="minorEastAsia" w:cs="Arial"/>
          <w:sz w:val="24"/>
        </w:rPr>
      </w:pPr>
      <w:r>
        <w:rPr>
          <w:rFonts w:asciiTheme="minorEastAsia" w:hAnsiTheme="minorEastAsia" w:cs="Arial" w:hint="eastAsia"/>
          <w:sz w:val="24"/>
        </w:rPr>
        <w:t>基金收益分配方案公告后(依据具体方案的规定)，基金管理人就支付的现金红利向基金托管人发送划款指令，基金托管人按照基金管理人的指令及时进行分红资金的划付。</w:t>
      </w:r>
    </w:p>
    <w:p w:rsidR="002F4F6D" w:rsidRDefault="007A5871">
      <w:pPr>
        <w:adjustRightInd w:val="0"/>
        <w:snapToGrid w:val="0"/>
        <w:spacing w:line="360" w:lineRule="auto"/>
        <w:ind w:firstLineChars="200" w:firstLine="480"/>
        <w:outlineLvl w:val="0"/>
        <w:rPr>
          <w:rFonts w:asciiTheme="minorEastAsia" w:hAnsiTheme="minorEastAsia" w:cs="Arial"/>
          <w:sz w:val="24"/>
        </w:rPr>
      </w:pPr>
      <w:r>
        <w:rPr>
          <w:rFonts w:asciiTheme="minorEastAsia" w:hAnsiTheme="minorEastAsia" w:cs="Arial" w:hint="eastAsia"/>
          <w:sz w:val="24"/>
        </w:rPr>
        <w:t>（三）实施</w:t>
      </w:r>
      <w:proofErr w:type="gramStart"/>
      <w:r>
        <w:rPr>
          <w:rFonts w:asciiTheme="minorEastAsia" w:hAnsiTheme="minorEastAsia" w:cs="Arial" w:hint="eastAsia"/>
          <w:sz w:val="24"/>
        </w:rPr>
        <w:t>侧袋机制</w:t>
      </w:r>
      <w:proofErr w:type="gramEnd"/>
      <w:r>
        <w:rPr>
          <w:rFonts w:asciiTheme="minorEastAsia" w:hAnsiTheme="minorEastAsia" w:cs="Arial" w:hint="eastAsia"/>
          <w:sz w:val="24"/>
        </w:rPr>
        <w:t>期间的收益分配</w:t>
      </w:r>
    </w:p>
    <w:p w:rsidR="002F4F6D" w:rsidRDefault="007A5871">
      <w:pPr>
        <w:adjustRightInd w:val="0"/>
        <w:snapToGrid w:val="0"/>
        <w:spacing w:line="360" w:lineRule="auto"/>
        <w:ind w:firstLineChars="200" w:firstLine="480"/>
        <w:outlineLvl w:val="0"/>
        <w:rPr>
          <w:rFonts w:asciiTheme="minorEastAsia" w:hAnsiTheme="minorEastAsia" w:cs="Arial"/>
          <w:sz w:val="24"/>
        </w:rPr>
      </w:pPr>
      <w:r>
        <w:rPr>
          <w:rFonts w:asciiTheme="minorEastAsia" w:hAnsiTheme="minorEastAsia" w:cs="Arial" w:hint="eastAsia"/>
          <w:sz w:val="24"/>
        </w:rPr>
        <w:t>本基金实施</w:t>
      </w:r>
      <w:proofErr w:type="gramStart"/>
      <w:r>
        <w:rPr>
          <w:rFonts w:asciiTheme="minorEastAsia" w:hAnsiTheme="minorEastAsia" w:cs="Arial" w:hint="eastAsia"/>
          <w:sz w:val="24"/>
        </w:rPr>
        <w:t>侧袋机制</w:t>
      </w:r>
      <w:proofErr w:type="gramEnd"/>
      <w:r>
        <w:rPr>
          <w:rFonts w:asciiTheme="minorEastAsia" w:hAnsiTheme="minorEastAsia" w:cs="Arial" w:hint="eastAsia"/>
          <w:sz w:val="24"/>
        </w:rPr>
        <w:t>的，</w:t>
      </w:r>
      <w:proofErr w:type="gramStart"/>
      <w:r>
        <w:rPr>
          <w:rFonts w:asciiTheme="minorEastAsia" w:hAnsiTheme="minorEastAsia" w:cs="Arial" w:hint="eastAsia"/>
          <w:sz w:val="24"/>
        </w:rPr>
        <w:t>侧袋账户</w:t>
      </w:r>
      <w:proofErr w:type="gramEnd"/>
      <w:r>
        <w:rPr>
          <w:rFonts w:asciiTheme="minorEastAsia" w:hAnsiTheme="minorEastAsia" w:cs="Arial" w:hint="eastAsia"/>
          <w:sz w:val="24"/>
        </w:rPr>
        <w:t>不进行收益分配，详见招募说明书的规定。</w:t>
      </w:r>
    </w:p>
    <w:p w:rsidR="002F4F6D" w:rsidRDefault="007A5871">
      <w:pPr>
        <w:pStyle w:val="2"/>
        <w:spacing w:line="360" w:lineRule="auto"/>
        <w:jc w:val="center"/>
        <w:rPr>
          <w:rFonts w:asciiTheme="minorEastAsia" w:eastAsiaTheme="minorEastAsia" w:hAnsiTheme="minorEastAsia"/>
          <w:sz w:val="30"/>
        </w:rPr>
      </w:pPr>
      <w:bookmarkStart w:id="88" w:name="_Toc124325894"/>
      <w:r>
        <w:rPr>
          <w:rFonts w:asciiTheme="minorEastAsia" w:eastAsiaTheme="minorEastAsia" w:hAnsiTheme="minorEastAsia" w:hint="eastAsia"/>
          <w:sz w:val="30"/>
        </w:rPr>
        <w:t>十、基金信息披露</w:t>
      </w:r>
      <w:bookmarkEnd w:id="88"/>
    </w:p>
    <w:p w:rsidR="002F4F6D" w:rsidRDefault="007A5871">
      <w:pPr>
        <w:adjustRightInd w:val="0"/>
        <w:snapToGrid w:val="0"/>
        <w:spacing w:line="360" w:lineRule="auto"/>
        <w:ind w:firstLineChars="200" w:firstLine="480"/>
        <w:outlineLvl w:val="0"/>
        <w:rPr>
          <w:rFonts w:asciiTheme="minorEastAsia" w:hAnsiTheme="minorEastAsia" w:cs="Arial"/>
          <w:sz w:val="24"/>
        </w:rPr>
      </w:pPr>
      <w:r>
        <w:rPr>
          <w:rFonts w:asciiTheme="minorEastAsia" w:hAnsiTheme="minorEastAsia" w:cs="Arial" w:hint="eastAsia"/>
          <w:sz w:val="24"/>
        </w:rPr>
        <w:t>（一）保密义务</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1.非因基金管理人和基金托管人的原因导致保密信息被披露、泄露或公开；</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2.基金管理人和基金托管人为遵守和服从法院判决或裁定、仲裁裁决或中国证监会等监管机构的命令、决定所做出的信息披露或公开。</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（二）信息披露的内容</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的信息披露内容主要包括基金招募说明书、《基金合同》、托管协议、基金产品资料概要、基金份额发售公告、基金募集情况、《基金合同》生效公告、基金净值信息、基金定期报告、包括基金年度报告、基金中期报告和基金季度报告、临时报告、澄清公告、基金份额持有人大会决议、清算报告、基金管理人、基金托管人的专门基金托管部门的重大人事变动、涉及基金财产、基金管理业务、基金托管业务的诉讼或者仲裁、投资资产支持证券、投资股指期货、投资国债期货、投资港股通标的股票、参与融资的情况</w:t>
      </w:r>
      <w:r>
        <w:rPr>
          <w:rFonts w:asciiTheme="minorEastAsia" w:hAnsiTheme="minorEastAsia" w:cs="Arial"/>
          <w:sz w:val="24"/>
        </w:rPr>
        <w:t>以及</w:t>
      </w:r>
      <w:r>
        <w:rPr>
          <w:rFonts w:asciiTheme="minorEastAsia" w:hAnsiTheme="minorEastAsia" w:cs="Arial" w:hint="eastAsia"/>
          <w:sz w:val="24"/>
        </w:rPr>
        <w:t>中国证监会规定的其他信息。基金年度报告中的财务会计报告需</w:t>
      </w:r>
      <w:proofErr w:type="gramStart"/>
      <w:r>
        <w:rPr>
          <w:rFonts w:asciiTheme="minorEastAsia" w:hAnsiTheme="minorEastAsia" w:cs="Arial" w:hint="eastAsia"/>
          <w:sz w:val="24"/>
        </w:rPr>
        <w:t>经符合</w:t>
      </w:r>
      <w:proofErr w:type="gramEnd"/>
      <w:r>
        <w:rPr>
          <w:rFonts w:asciiTheme="minorEastAsia" w:hAnsiTheme="minorEastAsia" w:cs="Arial" w:hint="eastAsia"/>
          <w:sz w:val="24"/>
        </w:rPr>
        <w:t>《证券法》规定的会计师事务所审计后，方可披露。</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（三）基金托管人和基金管理人在信息披露中的职责和信息披露程序</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1.职责</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基金托管人和基金管理人在信息披露过程中应以保护基金份额持有人利益为</w:t>
      </w:r>
      <w:r>
        <w:rPr>
          <w:rFonts w:asciiTheme="minorEastAsia" w:hAnsiTheme="minorEastAsia" w:cs="Arial" w:hint="eastAsia"/>
          <w:sz w:val="24"/>
        </w:rPr>
        <w:lastRenderedPageBreak/>
        <w:t>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对于不需要基金托管人(或基金管理人)复核的信息，基金管理人(或基金托管人)在公告前应告知基金托管人(或基金管理人)。</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基金管理人和基金托管人应积极配合、互相监督，保证其履行按照法定方式和限时披露的义务。</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基金管理人应当在中国证监会规定的时间内，将应予披露的基金信息通过规定媒介披露。根据法律法规应由基金托管人公开披露的信息，基金托管人将通过规定媒介或基金托管人的互联网网站公开披露。</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当出现下述情况时，基金管理人和基金托管人可暂停或延迟披露基金相关信息：</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(1)不可抗力；</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(2)基金投资所涉及的证券交易市场遇法定节假日或因其他原因暂停营业时；</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(3)法律法规、《基金合同》或中国证监会规定的情况。</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2.程序</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3.信息文本的存放</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依法必须披露的信息发布后，基金管理人、基金托管人应当按照相关法律法规规定将信息置备于公司住所，供社会公众查阅、复制。</w:t>
      </w:r>
    </w:p>
    <w:p w:rsidR="002F4F6D" w:rsidRDefault="007A5871">
      <w:pPr>
        <w:adjustRightInd w:val="0"/>
        <w:snapToGrid w:val="0"/>
        <w:ind w:firstLineChars="200" w:firstLine="480"/>
        <w:rPr>
          <w:rFonts w:ascii="彩虹粗仿宋" w:hAnsi="宋体"/>
          <w:sz w:val="24"/>
        </w:rPr>
      </w:pPr>
      <w:r>
        <w:rPr>
          <w:rFonts w:ascii="彩虹粗仿宋" w:hAnsi="宋体" w:hint="eastAsia"/>
          <w:sz w:val="24"/>
        </w:rPr>
        <w:t>（四）实施</w:t>
      </w:r>
      <w:proofErr w:type="gramStart"/>
      <w:r>
        <w:rPr>
          <w:rFonts w:ascii="彩虹粗仿宋" w:hAnsi="宋体" w:hint="eastAsia"/>
          <w:sz w:val="24"/>
        </w:rPr>
        <w:t>侧袋机制</w:t>
      </w:r>
      <w:proofErr w:type="gramEnd"/>
      <w:r>
        <w:rPr>
          <w:rFonts w:ascii="彩虹粗仿宋" w:hAnsi="宋体" w:hint="eastAsia"/>
          <w:sz w:val="24"/>
        </w:rPr>
        <w:t>期间的信息披露</w:t>
      </w:r>
    </w:p>
    <w:p w:rsidR="002F4F6D" w:rsidRDefault="007A5871">
      <w:pPr>
        <w:adjustRightInd w:val="0"/>
        <w:snapToGrid w:val="0"/>
        <w:spacing w:line="360" w:lineRule="auto"/>
        <w:ind w:firstLineChars="200" w:firstLine="480"/>
        <w:rPr>
          <w:rFonts w:asciiTheme="minorEastAsia" w:hAnsiTheme="minorEastAsia" w:cs="Arial"/>
          <w:sz w:val="24"/>
        </w:rPr>
      </w:pPr>
      <w:r>
        <w:rPr>
          <w:rFonts w:ascii="彩虹粗仿宋" w:hAnsi="宋体" w:hint="eastAsia"/>
          <w:sz w:val="24"/>
        </w:rPr>
        <w:t>本基金实施</w:t>
      </w:r>
      <w:proofErr w:type="gramStart"/>
      <w:r>
        <w:rPr>
          <w:rFonts w:ascii="彩虹粗仿宋" w:hAnsi="宋体" w:hint="eastAsia"/>
          <w:sz w:val="24"/>
        </w:rPr>
        <w:t>侧袋机制</w:t>
      </w:r>
      <w:proofErr w:type="gramEnd"/>
      <w:r>
        <w:rPr>
          <w:rFonts w:ascii="彩虹粗仿宋" w:hAnsi="宋体" w:hint="eastAsia"/>
          <w:sz w:val="24"/>
        </w:rPr>
        <w:t>的，相关信息披露义务人应当根据法律法规、基金合同和招募说明书的规定进行信息披露，详见招募说明书的规定。</w:t>
      </w:r>
    </w:p>
    <w:p w:rsidR="002F4F6D" w:rsidRDefault="002F4F6D">
      <w:pPr>
        <w:pStyle w:val="a0"/>
        <w:ind w:firstLineChars="0" w:firstLine="0"/>
        <w:rPr>
          <w:rFonts w:ascii="彩虹粗仿宋" w:eastAsia="彩虹粗仿宋" w:hAnsi="宋体" w:cs="Arial"/>
          <w:sz w:val="24"/>
        </w:rPr>
      </w:pPr>
    </w:p>
    <w:p w:rsidR="002F4F6D" w:rsidRDefault="007A5871">
      <w:pPr>
        <w:pStyle w:val="2"/>
        <w:spacing w:line="360" w:lineRule="auto"/>
        <w:jc w:val="center"/>
        <w:rPr>
          <w:rFonts w:asciiTheme="minorEastAsia" w:eastAsiaTheme="minorEastAsia" w:hAnsiTheme="minorEastAsia"/>
          <w:sz w:val="30"/>
        </w:rPr>
      </w:pPr>
      <w:bookmarkStart w:id="89" w:name="_Toc124325895"/>
      <w:r>
        <w:rPr>
          <w:rFonts w:asciiTheme="minorEastAsia" w:eastAsiaTheme="minorEastAsia" w:hAnsiTheme="minorEastAsia" w:hint="eastAsia"/>
          <w:sz w:val="30"/>
        </w:rPr>
        <w:lastRenderedPageBreak/>
        <w:t>十一、基金费用</w:t>
      </w:r>
      <w:bookmarkEnd w:id="89"/>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（一）基金管理费的计提比例和计提方法</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hint="eastAsia"/>
          <w:sz w:val="24"/>
        </w:rPr>
        <w:t>本基金的管理费按前一日基金资产净值的</w:t>
      </w:r>
      <w:r>
        <w:rPr>
          <w:rFonts w:asciiTheme="minorEastAsia" w:hAnsiTheme="minorEastAsia"/>
          <w:sz w:val="24"/>
        </w:rPr>
        <w:t>1.50%</w:t>
      </w:r>
      <w:r>
        <w:rPr>
          <w:rFonts w:asciiTheme="minorEastAsia" w:hAnsiTheme="minorEastAsia" w:hint="eastAsia"/>
          <w:sz w:val="24"/>
        </w:rPr>
        <w:t>年费率计提。</w:t>
      </w:r>
      <w:r>
        <w:rPr>
          <w:rFonts w:asciiTheme="minorEastAsia" w:hAnsiTheme="minorEastAsia" w:cs="Arial" w:hint="eastAsia"/>
          <w:sz w:val="24"/>
        </w:rPr>
        <w:t>管理费的计算方法如下：</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sz w:val="24"/>
        </w:rPr>
        <w:t>H</w:t>
      </w:r>
      <w:r>
        <w:rPr>
          <w:rFonts w:asciiTheme="minorEastAsia" w:hAnsiTheme="minorEastAsia" w:cs="Arial" w:hint="eastAsia"/>
          <w:sz w:val="24"/>
        </w:rPr>
        <w:t>＝</w:t>
      </w:r>
      <w:r>
        <w:rPr>
          <w:rFonts w:asciiTheme="minorEastAsia" w:hAnsiTheme="minorEastAsia" w:cs="Arial"/>
          <w:sz w:val="24"/>
        </w:rPr>
        <w:t>E×1.50%÷</w:t>
      </w:r>
      <w:r>
        <w:rPr>
          <w:rFonts w:asciiTheme="minorEastAsia" w:hAnsiTheme="minorEastAsia" w:cs="Arial" w:hint="eastAsia"/>
          <w:sz w:val="24"/>
        </w:rPr>
        <w:t>当年天数</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sz w:val="24"/>
        </w:rPr>
        <w:t>H</w:t>
      </w:r>
      <w:r>
        <w:rPr>
          <w:rFonts w:asciiTheme="minorEastAsia" w:hAnsiTheme="minorEastAsia" w:cs="Arial" w:hint="eastAsia"/>
          <w:sz w:val="24"/>
        </w:rPr>
        <w:t>为每日应计提的基金管理费</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sz w:val="24"/>
        </w:rPr>
        <w:t>E</w:t>
      </w:r>
      <w:r>
        <w:rPr>
          <w:rFonts w:asciiTheme="minorEastAsia" w:hAnsiTheme="minorEastAsia" w:cs="Arial" w:hint="eastAsia"/>
          <w:sz w:val="24"/>
        </w:rPr>
        <w:t>为前一日的基金资产净值</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（二）基金托管费的计提比例和计提方法</w:t>
      </w:r>
    </w:p>
    <w:p w:rsidR="002F4F6D" w:rsidRDefault="007A5871">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本基金的托管费按前一日基金资产净值的</w:t>
      </w:r>
      <w:r>
        <w:rPr>
          <w:rFonts w:asciiTheme="minorEastAsia" w:hAnsiTheme="minorEastAsia"/>
          <w:sz w:val="24"/>
        </w:rPr>
        <w:t>0.25%</w:t>
      </w:r>
      <w:r>
        <w:rPr>
          <w:rFonts w:asciiTheme="minorEastAsia" w:hAnsiTheme="minorEastAsia" w:hint="eastAsia"/>
          <w:sz w:val="24"/>
        </w:rPr>
        <w:t>的年费率计提。托管费的计算方法如下：</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sz w:val="24"/>
        </w:rPr>
        <w:t>H</w:t>
      </w:r>
      <w:r>
        <w:rPr>
          <w:rFonts w:asciiTheme="minorEastAsia" w:hAnsiTheme="minorEastAsia" w:cs="Arial" w:hint="eastAsia"/>
          <w:sz w:val="24"/>
        </w:rPr>
        <w:t>＝</w:t>
      </w:r>
      <w:r>
        <w:rPr>
          <w:rFonts w:asciiTheme="minorEastAsia" w:hAnsiTheme="minorEastAsia" w:cs="Arial"/>
          <w:sz w:val="24"/>
        </w:rPr>
        <w:t>E×0.25%÷</w:t>
      </w:r>
      <w:r>
        <w:rPr>
          <w:rFonts w:asciiTheme="minorEastAsia" w:hAnsiTheme="minorEastAsia" w:cs="Arial" w:hint="eastAsia"/>
          <w:sz w:val="24"/>
        </w:rPr>
        <w:t>当年天数</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sz w:val="24"/>
        </w:rPr>
        <w:t>H</w:t>
      </w:r>
      <w:r>
        <w:rPr>
          <w:rFonts w:asciiTheme="minorEastAsia" w:hAnsiTheme="minorEastAsia" w:cs="Arial" w:hint="eastAsia"/>
          <w:sz w:val="24"/>
        </w:rPr>
        <w:t>为每日应计提的基金托管费</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sz w:val="24"/>
        </w:rPr>
        <w:t>E</w:t>
      </w:r>
      <w:r>
        <w:rPr>
          <w:rFonts w:asciiTheme="minorEastAsia" w:hAnsiTheme="minorEastAsia" w:cs="Arial" w:hint="eastAsia"/>
          <w:sz w:val="24"/>
        </w:rPr>
        <w:t>为前一日的基金资产净值</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（三）基金销售服务费的计提比例和计提方法</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本基金</w:t>
      </w:r>
      <w:r>
        <w:rPr>
          <w:rFonts w:asciiTheme="minorEastAsia" w:hAnsiTheme="minorEastAsia" w:cs="Arial"/>
          <w:sz w:val="24"/>
        </w:rPr>
        <w:t xml:space="preserve"> A</w:t>
      </w:r>
      <w:r>
        <w:rPr>
          <w:rFonts w:asciiTheme="minorEastAsia" w:hAnsiTheme="minorEastAsia" w:cs="Arial" w:hint="eastAsia"/>
          <w:sz w:val="24"/>
        </w:rPr>
        <w:t>类基金份额不收取销售服务费，</w:t>
      </w:r>
      <w:r>
        <w:rPr>
          <w:rFonts w:asciiTheme="minorEastAsia" w:hAnsiTheme="minorEastAsia" w:cs="Arial"/>
          <w:sz w:val="24"/>
        </w:rPr>
        <w:t>C</w:t>
      </w:r>
      <w:r>
        <w:rPr>
          <w:rFonts w:asciiTheme="minorEastAsia" w:hAnsiTheme="minorEastAsia" w:cs="Arial" w:hint="eastAsia"/>
          <w:sz w:val="24"/>
        </w:rPr>
        <w:t>类基金份额的销售服务费按前一日</w:t>
      </w:r>
      <w:r>
        <w:rPr>
          <w:rFonts w:asciiTheme="minorEastAsia" w:hAnsiTheme="minorEastAsia" w:cs="Arial"/>
          <w:sz w:val="24"/>
        </w:rPr>
        <w:t>C</w:t>
      </w:r>
      <w:r>
        <w:rPr>
          <w:rFonts w:asciiTheme="minorEastAsia" w:hAnsiTheme="minorEastAsia" w:cs="Arial" w:hint="eastAsia"/>
          <w:sz w:val="24"/>
        </w:rPr>
        <w:t>类基金份额资产净值的</w:t>
      </w:r>
      <w:r>
        <w:rPr>
          <w:rFonts w:asciiTheme="minorEastAsia" w:hAnsiTheme="minorEastAsia" w:cs="Arial"/>
          <w:sz w:val="24"/>
        </w:rPr>
        <w:t>0.50%</w:t>
      </w:r>
      <w:r>
        <w:rPr>
          <w:rFonts w:asciiTheme="minorEastAsia" w:hAnsiTheme="minorEastAsia" w:cs="Arial" w:hint="eastAsia"/>
          <w:sz w:val="24"/>
        </w:rPr>
        <w:t>年费率计提。计算方法如下：</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sz w:val="24"/>
        </w:rPr>
        <w:t>H</w:t>
      </w:r>
      <w:r>
        <w:rPr>
          <w:rFonts w:asciiTheme="minorEastAsia" w:hAnsiTheme="minorEastAsia" w:cs="Arial" w:hint="eastAsia"/>
          <w:sz w:val="24"/>
        </w:rPr>
        <w:t>＝</w:t>
      </w:r>
      <w:r>
        <w:rPr>
          <w:rFonts w:asciiTheme="minorEastAsia" w:hAnsiTheme="minorEastAsia" w:cs="Arial"/>
          <w:sz w:val="24"/>
        </w:rPr>
        <w:t>E</w:t>
      </w:r>
      <w:r>
        <w:rPr>
          <w:rFonts w:asciiTheme="minorEastAsia" w:hAnsiTheme="minorEastAsia" w:cs="Arial" w:hint="eastAsia"/>
          <w:sz w:val="24"/>
        </w:rPr>
        <w:t>×</w:t>
      </w:r>
      <w:r>
        <w:rPr>
          <w:rFonts w:asciiTheme="minorEastAsia" w:hAnsiTheme="minorEastAsia" w:cs="Arial"/>
          <w:sz w:val="24"/>
        </w:rPr>
        <w:t>0.50%</w:t>
      </w:r>
      <w:r>
        <w:rPr>
          <w:rFonts w:asciiTheme="minorEastAsia" w:hAnsiTheme="minorEastAsia" w:cs="Arial" w:hint="eastAsia"/>
          <w:sz w:val="24"/>
        </w:rPr>
        <w:t>÷当年天数</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sz w:val="24"/>
        </w:rPr>
        <w:t>H</w:t>
      </w:r>
      <w:r>
        <w:rPr>
          <w:rFonts w:asciiTheme="minorEastAsia" w:hAnsiTheme="minorEastAsia" w:cs="Arial" w:hint="eastAsia"/>
          <w:sz w:val="24"/>
        </w:rPr>
        <w:t>为</w:t>
      </w:r>
      <w:r>
        <w:rPr>
          <w:rFonts w:asciiTheme="minorEastAsia" w:hAnsiTheme="minorEastAsia" w:cs="Arial"/>
          <w:sz w:val="24"/>
        </w:rPr>
        <w:t>C</w:t>
      </w:r>
      <w:r>
        <w:rPr>
          <w:rFonts w:asciiTheme="minorEastAsia" w:hAnsiTheme="minorEastAsia" w:cs="Arial" w:hint="eastAsia"/>
          <w:sz w:val="24"/>
        </w:rPr>
        <w:t>类基金份额每日应计提的销售服务费</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sz w:val="24"/>
        </w:rPr>
        <w:t>E</w:t>
      </w:r>
      <w:r>
        <w:rPr>
          <w:rFonts w:asciiTheme="minorEastAsia" w:hAnsiTheme="minorEastAsia" w:cs="Arial" w:hint="eastAsia"/>
          <w:sz w:val="24"/>
        </w:rPr>
        <w:t>为</w:t>
      </w:r>
      <w:r>
        <w:rPr>
          <w:rFonts w:asciiTheme="minorEastAsia" w:hAnsiTheme="minorEastAsia" w:cs="Arial"/>
          <w:sz w:val="24"/>
        </w:rPr>
        <w:t>C</w:t>
      </w:r>
      <w:r>
        <w:rPr>
          <w:rFonts w:asciiTheme="minorEastAsia" w:hAnsiTheme="minorEastAsia" w:cs="Arial" w:hint="eastAsia"/>
          <w:sz w:val="24"/>
        </w:rPr>
        <w:t>类基金份额前一日基金资产净值</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四）基金的证券、期货交易费用、银行汇划费用、账户开户费用和账户维护费、《基金合同》生效后的信息披露费用（但法律法规、中国证监会另有规定的除外）、基金份额持有人大会费用、因投资港股通标的股票而产生的各项合理费用、《基金合同》生效后与基金有关的会计师费、律师费、诉讼费和仲裁费等根据有关法律法规、《基金合同》及相应协议的规定，列入当期基金费用。</w:t>
      </w:r>
    </w:p>
    <w:p w:rsidR="002F4F6D" w:rsidRDefault="007A5871">
      <w:pPr>
        <w:adjustRightInd w:val="0"/>
        <w:snapToGrid w:val="0"/>
        <w:spacing w:line="360" w:lineRule="auto"/>
        <w:ind w:firstLineChars="200" w:firstLine="480"/>
        <w:outlineLvl w:val="0"/>
        <w:rPr>
          <w:rFonts w:asciiTheme="minorEastAsia" w:hAnsiTheme="minorEastAsia" w:cs="Arial"/>
          <w:sz w:val="24"/>
        </w:rPr>
      </w:pPr>
      <w:r>
        <w:rPr>
          <w:rFonts w:asciiTheme="minorEastAsia" w:hAnsiTheme="minorEastAsia" w:cs="Arial" w:hint="eastAsia"/>
          <w:sz w:val="24"/>
        </w:rPr>
        <w:t>（五）不列入基金费用的项目</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以及其他根据相关法律法规及中国证监会的有关规定不得列入基金费用的项目等不列入基金费用。</w:t>
      </w:r>
    </w:p>
    <w:p w:rsidR="002F4F6D" w:rsidRDefault="007A5871">
      <w:pPr>
        <w:adjustRightInd w:val="0"/>
        <w:snapToGrid w:val="0"/>
        <w:spacing w:line="360" w:lineRule="auto"/>
        <w:ind w:firstLineChars="200" w:firstLine="480"/>
        <w:outlineLvl w:val="0"/>
        <w:rPr>
          <w:rFonts w:asciiTheme="minorEastAsia" w:hAnsiTheme="minorEastAsia" w:cs="Arial"/>
          <w:sz w:val="24"/>
        </w:rPr>
      </w:pPr>
      <w:r>
        <w:rPr>
          <w:rFonts w:asciiTheme="minorEastAsia" w:hAnsiTheme="minorEastAsia" w:cs="Arial" w:hint="eastAsia"/>
          <w:sz w:val="24"/>
        </w:rPr>
        <w:lastRenderedPageBreak/>
        <w:t>（六）基金管理费、基金托管费、基金销售服务费的复核程序、支付方式和时间</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1.复核程序</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基金托管人对基金管理人计提的基金管理费、基金托管费、</w:t>
      </w:r>
      <w:r>
        <w:rPr>
          <w:rFonts w:hint="eastAsia"/>
          <w:bCs/>
          <w:sz w:val="24"/>
        </w:rPr>
        <w:t>基金销售服务费</w:t>
      </w:r>
      <w:r>
        <w:rPr>
          <w:rFonts w:asciiTheme="minorEastAsia" w:hAnsiTheme="minorEastAsia" w:cs="Arial" w:hint="eastAsia"/>
          <w:sz w:val="24"/>
        </w:rPr>
        <w:t>等，根据本托管协议和《基金合同》的有关规定进行复核。</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2.支付方式和时间</w:t>
      </w:r>
    </w:p>
    <w:p w:rsidR="002F4F6D" w:rsidRDefault="007A5871">
      <w:pPr>
        <w:adjustRightInd w:val="0"/>
        <w:snapToGrid w:val="0"/>
        <w:spacing w:line="360" w:lineRule="auto"/>
        <w:ind w:firstLineChars="200" w:firstLine="480"/>
        <w:rPr>
          <w:rFonts w:asciiTheme="minorEastAsia" w:hAnsiTheme="minorEastAsia" w:cs="Arial"/>
          <w:sz w:val="24"/>
          <w:szCs w:val="24"/>
        </w:rPr>
      </w:pPr>
      <w:r>
        <w:rPr>
          <w:rFonts w:asciiTheme="minorEastAsia" w:hAnsiTheme="minorEastAsia" w:cs="Arial"/>
          <w:sz w:val="24"/>
          <w:szCs w:val="24"/>
        </w:rPr>
        <w:t>基金管理费、基金托管费</w:t>
      </w:r>
      <w:r>
        <w:rPr>
          <w:rFonts w:asciiTheme="minorEastAsia" w:hAnsiTheme="minorEastAsia" w:cs="Arial" w:hint="eastAsia"/>
          <w:sz w:val="24"/>
          <w:szCs w:val="24"/>
        </w:rPr>
        <w:t>、</w:t>
      </w:r>
      <w:r>
        <w:rPr>
          <w:rFonts w:hint="eastAsia"/>
          <w:bCs/>
          <w:sz w:val="24"/>
        </w:rPr>
        <w:t>基金销售服务费</w:t>
      </w:r>
      <w:r>
        <w:rPr>
          <w:rFonts w:asciiTheme="minorEastAsia" w:hAnsiTheme="minorEastAsia" w:cs="Arial" w:hint="eastAsia"/>
          <w:sz w:val="24"/>
          <w:szCs w:val="24"/>
        </w:rPr>
        <w:t>，每日计算，逐日累计至每月月末，按月支付，经基金管理人与基金托管人核对一致后，由基金托管人于</w:t>
      </w:r>
      <w:r>
        <w:rPr>
          <w:rFonts w:hint="eastAsia"/>
          <w:bCs/>
          <w:sz w:val="24"/>
        </w:rPr>
        <w:t>次月首日起</w:t>
      </w:r>
      <w:r>
        <w:rPr>
          <w:rFonts w:hint="eastAsia"/>
          <w:bCs/>
          <w:sz w:val="24"/>
        </w:rPr>
        <w:t>5</w:t>
      </w:r>
      <w:r>
        <w:rPr>
          <w:rFonts w:hint="eastAsia"/>
          <w:bCs/>
          <w:sz w:val="24"/>
        </w:rPr>
        <w:t>个工作日</w:t>
      </w:r>
      <w:r>
        <w:rPr>
          <w:rFonts w:asciiTheme="minorEastAsia" w:hAnsiTheme="minorEastAsia" w:cs="Arial" w:hint="eastAsia"/>
          <w:sz w:val="24"/>
          <w:szCs w:val="24"/>
        </w:rPr>
        <w:t>内按照指定的账户路径从基金财产中一次性支付，管理人无需再出具资金划拨指令。若遇法定节假日、公休日等,支付日期顺延。费用自动扣划后，管理人应进行核对，如发现数据不符，及时联系托管人协商解决。</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szCs w:val="24"/>
        </w:rPr>
        <w:t>在首期支付基金管理费、销售服务费前，基金管理人应向托管人出具正式函件指定基金管理费、销售服务费的收款账户。基金管理人如需要</w:t>
      </w:r>
      <w:proofErr w:type="gramStart"/>
      <w:r>
        <w:rPr>
          <w:rFonts w:asciiTheme="minorEastAsia" w:hAnsiTheme="minorEastAsia" w:cs="Arial" w:hint="eastAsia"/>
          <w:sz w:val="24"/>
          <w:szCs w:val="24"/>
        </w:rPr>
        <w:t>变</w:t>
      </w:r>
      <w:r>
        <w:rPr>
          <w:rFonts w:asciiTheme="minorEastAsia" w:hAnsiTheme="minorEastAsia" w:cs="Arial" w:hint="eastAsia"/>
          <w:sz w:val="24"/>
        </w:rPr>
        <w:t>更此</w:t>
      </w:r>
      <w:proofErr w:type="gramEnd"/>
      <w:r>
        <w:rPr>
          <w:rFonts w:asciiTheme="minorEastAsia" w:hAnsiTheme="minorEastAsia" w:cs="Arial" w:hint="eastAsia"/>
          <w:sz w:val="24"/>
        </w:rPr>
        <w:t>账户，应提前5个工作日向托管人出具书面的收款账户变更通知。</w:t>
      </w:r>
    </w:p>
    <w:p w:rsidR="002F4F6D" w:rsidRDefault="007A5871">
      <w:pPr>
        <w:spacing w:line="360" w:lineRule="auto"/>
        <w:ind w:firstLineChars="200" w:firstLine="480"/>
        <w:rPr>
          <w:bCs/>
          <w:sz w:val="24"/>
        </w:rPr>
      </w:pPr>
      <w:r>
        <w:rPr>
          <w:rFonts w:asciiTheme="minorEastAsia" w:hAnsiTheme="minorEastAsia" w:cs="Arial" w:hint="eastAsia"/>
          <w:sz w:val="24"/>
        </w:rPr>
        <w:t>（七）</w:t>
      </w:r>
      <w:r>
        <w:rPr>
          <w:rFonts w:hint="eastAsia"/>
          <w:sz w:val="24"/>
        </w:rPr>
        <w:t>实施</w:t>
      </w:r>
      <w:proofErr w:type="gramStart"/>
      <w:r>
        <w:rPr>
          <w:rFonts w:hint="eastAsia"/>
          <w:sz w:val="24"/>
        </w:rPr>
        <w:t>侧袋机制</w:t>
      </w:r>
      <w:proofErr w:type="gramEnd"/>
      <w:r>
        <w:rPr>
          <w:rFonts w:hint="eastAsia"/>
          <w:bCs/>
          <w:sz w:val="24"/>
        </w:rPr>
        <w:t>期间的基金费用</w:t>
      </w:r>
    </w:p>
    <w:p w:rsidR="002F4F6D" w:rsidRDefault="007A5871">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账户资产变现后方可列支，有关费用可酌情收取或减免，但基金管理人不得</w:t>
      </w:r>
      <w:proofErr w:type="gramStart"/>
      <w:r>
        <w:rPr>
          <w:rFonts w:hint="eastAsia"/>
          <w:bCs/>
          <w:sz w:val="24"/>
        </w:rPr>
        <w:t>就侧袋账户</w:t>
      </w:r>
      <w:proofErr w:type="gramEnd"/>
      <w:r>
        <w:rPr>
          <w:rFonts w:hint="eastAsia"/>
          <w:bCs/>
          <w:sz w:val="24"/>
        </w:rPr>
        <w:t>资产收取管理费，详见招募说明书的规定。</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（八）违规处理方式</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2F4F6D" w:rsidRDefault="002F4F6D">
      <w:pPr>
        <w:adjustRightInd w:val="0"/>
        <w:snapToGrid w:val="0"/>
        <w:spacing w:line="360" w:lineRule="auto"/>
        <w:rPr>
          <w:rFonts w:asciiTheme="minorEastAsia" w:hAnsiTheme="minorEastAsia" w:cs="Arial"/>
          <w:sz w:val="24"/>
        </w:rPr>
      </w:pPr>
    </w:p>
    <w:p w:rsidR="002F4F6D" w:rsidRDefault="007A5871">
      <w:pPr>
        <w:pStyle w:val="2"/>
        <w:spacing w:line="360" w:lineRule="auto"/>
        <w:jc w:val="center"/>
        <w:rPr>
          <w:rFonts w:asciiTheme="minorEastAsia" w:eastAsiaTheme="minorEastAsia" w:hAnsiTheme="minorEastAsia"/>
          <w:sz w:val="30"/>
        </w:rPr>
      </w:pPr>
      <w:bookmarkStart w:id="90" w:name="_Toc124325896"/>
      <w:r>
        <w:rPr>
          <w:rFonts w:asciiTheme="minorEastAsia" w:eastAsiaTheme="minorEastAsia" w:hAnsiTheme="minorEastAsia" w:hint="eastAsia"/>
          <w:sz w:val="30"/>
        </w:rPr>
        <w:t>十二、基金份额持有人名册的保管</w:t>
      </w:r>
      <w:bookmarkEnd w:id="90"/>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得低于法律法规规定的最低期限。如不能妥善保管，则按相关法规承担责任。</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lastRenderedPageBreak/>
        <w:t>在基金托管人要求或编制中期报告和年度报告前，基金管理人应将有关资料送交基金托管人，不得无故拒绝或延误提供，并保证其的真实性、准确性和完整性。</w:t>
      </w:r>
      <w:r>
        <w:rPr>
          <w:rFonts w:asciiTheme="minorEastAsia" w:hAnsiTheme="minorEastAsia" w:hint="eastAsia"/>
          <w:kern w:val="0"/>
          <w:sz w:val="24"/>
        </w:rPr>
        <w:t>基金托管人不得将所保管的基金份额持有人名册用于基金托管业务以外的其他用途，并应遵守保密义务。</w:t>
      </w:r>
    </w:p>
    <w:p w:rsidR="002F4F6D" w:rsidRDefault="002F4F6D">
      <w:pPr>
        <w:adjustRightInd w:val="0"/>
        <w:snapToGrid w:val="0"/>
        <w:spacing w:line="360" w:lineRule="auto"/>
        <w:rPr>
          <w:rFonts w:asciiTheme="minorEastAsia" w:hAnsiTheme="minorEastAsia" w:cs="Arial"/>
          <w:sz w:val="24"/>
        </w:rPr>
      </w:pPr>
    </w:p>
    <w:p w:rsidR="002F4F6D" w:rsidRDefault="007A5871">
      <w:pPr>
        <w:pStyle w:val="2"/>
        <w:spacing w:line="360" w:lineRule="auto"/>
        <w:jc w:val="center"/>
        <w:rPr>
          <w:rFonts w:asciiTheme="minorEastAsia" w:eastAsiaTheme="minorEastAsia" w:hAnsiTheme="minorEastAsia"/>
          <w:sz w:val="30"/>
        </w:rPr>
      </w:pPr>
      <w:bookmarkStart w:id="91" w:name="_Toc124325897"/>
      <w:r>
        <w:rPr>
          <w:rFonts w:asciiTheme="minorEastAsia" w:eastAsiaTheme="minorEastAsia" w:hAnsiTheme="minorEastAsia" w:hint="eastAsia"/>
          <w:sz w:val="30"/>
        </w:rPr>
        <w:t>十三、基金有关文件档案的保存</w:t>
      </w:r>
      <w:bookmarkEnd w:id="91"/>
    </w:p>
    <w:p w:rsidR="002F4F6D" w:rsidRDefault="007A5871">
      <w:pPr>
        <w:adjustRightInd w:val="0"/>
        <w:snapToGrid w:val="0"/>
        <w:spacing w:line="360" w:lineRule="auto"/>
        <w:ind w:firstLineChars="200" w:firstLine="480"/>
        <w:outlineLvl w:val="0"/>
        <w:rPr>
          <w:rFonts w:asciiTheme="minorEastAsia" w:hAnsiTheme="minorEastAsia" w:cs="Arial"/>
          <w:sz w:val="24"/>
        </w:rPr>
      </w:pPr>
      <w:r>
        <w:rPr>
          <w:rFonts w:asciiTheme="minorEastAsia" w:hAnsiTheme="minorEastAsia" w:cs="Arial" w:hint="eastAsia"/>
          <w:sz w:val="24"/>
        </w:rPr>
        <w:t>（一）档案保存</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低于法律法规规定的最低期限。</w:t>
      </w:r>
    </w:p>
    <w:p w:rsidR="002F4F6D" w:rsidRDefault="007A5871">
      <w:pPr>
        <w:adjustRightInd w:val="0"/>
        <w:snapToGrid w:val="0"/>
        <w:spacing w:line="360" w:lineRule="auto"/>
        <w:ind w:firstLineChars="200" w:firstLine="480"/>
        <w:outlineLvl w:val="0"/>
        <w:rPr>
          <w:rFonts w:asciiTheme="minorEastAsia" w:hAnsiTheme="minorEastAsia" w:cs="Arial"/>
          <w:sz w:val="24"/>
        </w:rPr>
      </w:pPr>
      <w:r>
        <w:rPr>
          <w:rFonts w:asciiTheme="minorEastAsia" w:hAnsiTheme="minorEastAsia" w:cs="Arial" w:hint="eastAsia"/>
          <w:sz w:val="24"/>
        </w:rPr>
        <w:t>（二）合同档案的建立</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1.基金管理人签署重大合同文本后，应及时将合同文本正本送达基金托管人处。</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2.基金管理人应及时将与本基金账务处理、资金划拨等有关的合同、协议传真基金托管人。</w:t>
      </w:r>
    </w:p>
    <w:p w:rsidR="002F4F6D" w:rsidRDefault="007A5871">
      <w:pPr>
        <w:adjustRightInd w:val="0"/>
        <w:snapToGrid w:val="0"/>
        <w:spacing w:line="360" w:lineRule="auto"/>
        <w:ind w:firstLineChars="200" w:firstLine="480"/>
        <w:outlineLvl w:val="0"/>
        <w:rPr>
          <w:rFonts w:asciiTheme="minorEastAsia" w:hAnsiTheme="minorEastAsia" w:cs="Arial"/>
          <w:sz w:val="24"/>
        </w:rPr>
      </w:pPr>
      <w:r>
        <w:rPr>
          <w:rFonts w:asciiTheme="minorEastAsia" w:hAnsiTheme="minorEastAsia" w:cs="Arial" w:hint="eastAsia"/>
          <w:sz w:val="24"/>
        </w:rPr>
        <w:t>（三）变更与协助</w:t>
      </w:r>
    </w:p>
    <w:p w:rsidR="002F4F6D" w:rsidRDefault="007A5871">
      <w:pPr>
        <w:adjustRightInd w:val="0"/>
        <w:snapToGrid w:val="0"/>
        <w:spacing w:line="360" w:lineRule="auto"/>
        <w:ind w:firstLineChars="200" w:firstLine="480"/>
        <w:rPr>
          <w:rFonts w:asciiTheme="minorEastAsia" w:hAnsiTheme="minorEastAsia"/>
          <w:b/>
          <w:bCs/>
          <w:sz w:val="30"/>
          <w:szCs w:val="30"/>
        </w:rPr>
      </w:pPr>
      <w:proofErr w:type="gramStart"/>
      <w:r>
        <w:rPr>
          <w:rFonts w:asciiTheme="minorEastAsia" w:hAnsiTheme="minorEastAsia" w:cs="Arial" w:hint="eastAsia"/>
          <w:sz w:val="24"/>
        </w:rPr>
        <w:t>若基金</w:t>
      </w:r>
      <w:proofErr w:type="gramEnd"/>
      <w:r>
        <w:rPr>
          <w:rFonts w:asciiTheme="minorEastAsia" w:hAnsiTheme="minorEastAsia" w:cs="Arial" w:hint="eastAsia"/>
          <w:sz w:val="24"/>
        </w:rPr>
        <w:t>管理人/基金托管人发生变更，未变更的一方有义务协助变更后的接任人接收相应文件。</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（四）基金管理人和基金托管人应按各自职责完整保存原始凭证、记账凭证、基金账册、交易记录和重要合同等，承担保密义务并保存不得低于法律法规规定的最低期限。</w:t>
      </w:r>
    </w:p>
    <w:p w:rsidR="002F4F6D" w:rsidRDefault="002F4F6D">
      <w:pPr>
        <w:adjustRightInd w:val="0"/>
        <w:snapToGrid w:val="0"/>
        <w:spacing w:line="360" w:lineRule="auto"/>
        <w:rPr>
          <w:rFonts w:asciiTheme="minorEastAsia" w:hAnsiTheme="minorEastAsia"/>
          <w:sz w:val="30"/>
          <w:szCs w:val="30"/>
        </w:rPr>
      </w:pPr>
    </w:p>
    <w:p w:rsidR="002F4F6D" w:rsidRDefault="007A5871">
      <w:pPr>
        <w:pStyle w:val="2"/>
        <w:spacing w:line="360" w:lineRule="auto"/>
        <w:jc w:val="center"/>
        <w:rPr>
          <w:rFonts w:asciiTheme="minorEastAsia" w:eastAsiaTheme="minorEastAsia" w:hAnsiTheme="minorEastAsia"/>
          <w:sz w:val="30"/>
        </w:rPr>
      </w:pPr>
      <w:bookmarkStart w:id="92" w:name="_Toc124325898"/>
      <w:r>
        <w:rPr>
          <w:rFonts w:asciiTheme="minorEastAsia" w:eastAsiaTheme="minorEastAsia" w:hAnsiTheme="minorEastAsia" w:hint="eastAsia"/>
          <w:sz w:val="30"/>
        </w:rPr>
        <w:t>十四、基金管理人和基金托管人的更换</w:t>
      </w:r>
      <w:bookmarkEnd w:id="92"/>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（一）</w:t>
      </w:r>
      <w:r>
        <w:rPr>
          <w:rFonts w:asciiTheme="minorEastAsia" w:hAnsiTheme="minorEastAsia" w:cs="Arial" w:hint="eastAsia"/>
          <w:sz w:val="24"/>
        </w:rPr>
        <w:tab/>
        <w:t>基金管理人的更换程序</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1.提名：</w:t>
      </w:r>
      <w:proofErr w:type="gramStart"/>
      <w:r>
        <w:rPr>
          <w:rFonts w:asciiTheme="minorEastAsia" w:hAnsiTheme="minorEastAsia" w:cs="Arial" w:hint="eastAsia"/>
          <w:sz w:val="24"/>
        </w:rPr>
        <w:t>新任基金</w:t>
      </w:r>
      <w:proofErr w:type="gramEnd"/>
      <w:r>
        <w:rPr>
          <w:rFonts w:asciiTheme="minorEastAsia" w:hAnsiTheme="minorEastAsia" w:cs="Arial" w:hint="eastAsia"/>
          <w:sz w:val="24"/>
        </w:rPr>
        <w:t>管理人由基金托管人或由单独或合计持有10%以上（含10%）基金份额的基金份额持有人提名；</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lastRenderedPageBreak/>
        <w:t>2.决议：基金份额持有人大会在基金管理人职责终止后6个月内对被提名的基金管理人形成决议，该决议需经参加大会的基金份额持有人所持表决权的三分之二以上（含三分之二）表决通过；</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3.临时基金管理人：</w:t>
      </w:r>
      <w:proofErr w:type="gramStart"/>
      <w:r>
        <w:rPr>
          <w:rFonts w:asciiTheme="minorEastAsia" w:hAnsiTheme="minorEastAsia" w:cs="Arial" w:hint="eastAsia"/>
          <w:sz w:val="24"/>
        </w:rPr>
        <w:t>新任基金</w:t>
      </w:r>
      <w:proofErr w:type="gramEnd"/>
      <w:r>
        <w:rPr>
          <w:rFonts w:asciiTheme="minorEastAsia" w:hAnsiTheme="minorEastAsia" w:cs="Arial" w:hint="eastAsia"/>
          <w:sz w:val="24"/>
        </w:rPr>
        <w:t>管理人产生之前，由中国证监会指定临时基金管理人；</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4.备案：基金份额持有人大会选任基金管理人的决议自表决通过之日起生效，生效后方可执行，且该决议应当自通过之日起五日内报中国证监会备案；</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5.公告：基金管理人更换后，由基金托管人在更换基金管理人的基金份额持有人大会决议生效后2日内在规定媒介公告；</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6.交接：基金管理人职责终止的，基金管理人应妥善保管基金管理业务资料，及时向临时基金管理人或</w:t>
      </w:r>
      <w:proofErr w:type="gramStart"/>
      <w:r>
        <w:rPr>
          <w:rFonts w:asciiTheme="minorEastAsia" w:hAnsiTheme="minorEastAsia" w:cs="Arial" w:hint="eastAsia"/>
          <w:sz w:val="24"/>
        </w:rPr>
        <w:t>新任基金</w:t>
      </w:r>
      <w:proofErr w:type="gramEnd"/>
      <w:r>
        <w:rPr>
          <w:rFonts w:asciiTheme="minorEastAsia" w:hAnsiTheme="minorEastAsia" w:cs="Arial" w:hint="eastAsia"/>
          <w:sz w:val="24"/>
        </w:rPr>
        <w:t>管理人办理基金管理业务的移交手续，临时基金管理人或</w:t>
      </w:r>
      <w:proofErr w:type="gramStart"/>
      <w:r>
        <w:rPr>
          <w:rFonts w:asciiTheme="minorEastAsia" w:hAnsiTheme="minorEastAsia" w:cs="Arial" w:hint="eastAsia"/>
          <w:sz w:val="24"/>
        </w:rPr>
        <w:t>新任基金</w:t>
      </w:r>
      <w:proofErr w:type="gramEnd"/>
      <w:r>
        <w:rPr>
          <w:rFonts w:asciiTheme="minorEastAsia" w:hAnsiTheme="minorEastAsia" w:cs="Arial" w:hint="eastAsia"/>
          <w:sz w:val="24"/>
        </w:rPr>
        <w:t>管理人应及时接收。</w:t>
      </w:r>
      <w:proofErr w:type="gramStart"/>
      <w:r>
        <w:rPr>
          <w:rFonts w:asciiTheme="minorEastAsia" w:hAnsiTheme="minorEastAsia" w:cs="Arial" w:hint="eastAsia"/>
          <w:sz w:val="24"/>
        </w:rPr>
        <w:t>新任基金</w:t>
      </w:r>
      <w:proofErr w:type="gramEnd"/>
      <w:r>
        <w:rPr>
          <w:rFonts w:asciiTheme="minorEastAsia" w:hAnsiTheme="minorEastAsia" w:cs="Arial" w:hint="eastAsia"/>
          <w:sz w:val="24"/>
        </w:rPr>
        <w:t>管理人或临时基金管理人应与基金托管人核对基金资产总值和净值；</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7.审计：基金管理人职责终止的，应当按照法律法规规定聘请会计师事务所对基金财产进行审计，并将审计结果予以公告，同时报中国证监会备案</w:t>
      </w:r>
      <w:r>
        <w:rPr>
          <w:rFonts w:asciiTheme="minorEastAsia" w:hAnsiTheme="minorEastAsia" w:cs="Arial" w:hint="eastAsia"/>
          <w:bCs/>
          <w:sz w:val="24"/>
        </w:rPr>
        <w:t>，审计费用从基金财产中列支</w:t>
      </w:r>
      <w:r>
        <w:rPr>
          <w:rFonts w:asciiTheme="minorEastAsia" w:hAnsiTheme="minorEastAsia" w:cs="Arial" w:hint="eastAsia"/>
          <w:sz w:val="24"/>
        </w:rPr>
        <w:t>；</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8.基金名称变更：基金管理人更换后，如果原任或</w:t>
      </w:r>
      <w:proofErr w:type="gramStart"/>
      <w:r>
        <w:rPr>
          <w:rFonts w:asciiTheme="minorEastAsia" w:hAnsiTheme="minorEastAsia" w:cs="Arial" w:hint="eastAsia"/>
          <w:sz w:val="24"/>
        </w:rPr>
        <w:t>新任基金</w:t>
      </w:r>
      <w:proofErr w:type="gramEnd"/>
      <w:r>
        <w:rPr>
          <w:rFonts w:asciiTheme="minorEastAsia" w:hAnsiTheme="minorEastAsia" w:cs="Arial" w:hint="eastAsia"/>
          <w:sz w:val="24"/>
        </w:rPr>
        <w:t>管理人要求，应按其要求替换或删除基金名称中与</w:t>
      </w:r>
      <w:proofErr w:type="gramStart"/>
      <w:r>
        <w:rPr>
          <w:rFonts w:asciiTheme="minorEastAsia" w:hAnsiTheme="minorEastAsia" w:cs="Arial" w:hint="eastAsia"/>
          <w:sz w:val="24"/>
        </w:rPr>
        <w:t>原基金</w:t>
      </w:r>
      <w:proofErr w:type="gramEnd"/>
      <w:r>
        <w:rPr>
          <w:rFonts w:asciiTheme="minorEastAsia" w:hAnsiTheme="minorEastAsia" w:cs="Arial" w:hint="eastAsia"/>
          <w:sz w:val="24"/>
        </w:rPr>
        <w:t>管理人有关的名称字样。</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（二）</w:t>
      </w:r>
      <w:r>
        <w:rPr>
          <w:rFonts w:asciiTheme="minorEastAsia" w:hAnsiTheme="minorEastAsia" w:cs="Arial" w:hint="eastAsia"/>
          <w:sz w:val="24"/>
        </w:rPr>
        <w:tab/>
        <w:t>基金托管人的更换程序</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1.提名：</w:t>
      </w:r>
      <w:proofErr w:type="gramStart"/>
      <w:r>
        <w:rPr>
          <w:rFonts w:asciiTheme="minorEastAsia" w:hAnsiTheme="minorEastAsia" w:cs="Arial" w:hint="eastAsia"/>
          <w:sz w:val="24"/>
        </w:rPr>
        <w:t>新任基金</w:t>
      </w:r>
      <w:proofErr w:type="gramEnd"/>
      <w:r>
        <w:rPr>
          <w:rFonts w:asciiTheme="minorEastAsia" w:hAnsiTheme="minorEastAsia" w:cs="Arial" w:hint="eastAsia"/>
          <w:sz w:val="24"/>
        </w:rPr>
        <w:t>托管人由基金管理人或由单独或合计持有10%以上（含10%）基金份额的基金份额持有人提名；</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3.临时基金托管人：</w:t>
      </w:r>
      <w:proofErr w:type="gramStart"/>
      <w:r>
        <w:rPr>
          <w:rFonts w:asciiTheme="minorEastAsia" w:hAnsiTheme="minorEastAsia" w:cs="Arial" w:hint="eastAsia"/>
          <w:sz w:val="24"/>
        </w:rPr>
        <w:t>新任基金</w:t>
      </w:r>
      <w:proofErr w:type="gramEnd"/>
      <w:r>
        <w:rPr>
          <w:rFonts w:asciiTheme="minorEastAsia" w:hAnsiTheme="minorEastAsia" w:cs="Arial" w:hint="eastAsia"/>
          <w:sz w:val="24"/>
        </w:rPr>
        <w:t>托管人产生之前，由中国证监会指定临时基金托管人；</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4.备案：基金份额持有人大会更换基金托管人的决议自表决通过之日起生效，生效后方可执行，且该决议应当自通过之日起五日内报中国证监会备案；</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5.公告：基金托管人更换后，由基金管理人在更换基金托管人的基金份额持有人大会决议生效后2日内在规定媒介公告；</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lastRenderedPageBreak/>
        <w:t>6.交接：基金托管人职责终止的，应当妥善保管基金财产和基金托管业务资料，及时办理基金财产和基金托管业务的移交手续，</w:t>
      </w:r>
      <w:proofErr w:type="gramStart"/>
      <w:r>
        <w:rPr>
          <w:rFonts w:asciiTheme="minorEastAsia" w:hAnsiTheme="minorEastAsia" w:cs="Arial" w:hint="eastAsia"/>
          <w:sz w:val="24"/>
        </w:rPr>
        <w:t>新任基金</w:t>
      </w:r>
      <w:proofErr w:type="gramEnd"/>
      <w:r>
        <w:rPr>
          <w:rFonts w:asciiTheme="minorEastAsia" w:hAnsiTheme="minorEastAsia" w:cs="Arial" w:hint="eastAsia"/>
          <w:sz w:val="24"/>
        </w:rPr>
        <w:t>托管人或者临时基金托管人应当及时接收。</w:t>
      </w:r>
      <w:proofErr w:type="gramStart"/>
      <w:r>
        <w:rPr>
          <w:rFonts w:asciiTheme="minorEastAsia" w:hAnsiTheme="minorEastAsia" w:cs="Arial" w:hint="eastAsia"/>
          <w:sz w:val="24"/>
        </w:rPr>
        <w:t>新任基金</w:t>
      </w:r>
      <w:proofErr w:type="gramEnd"/>
      <w:r>
        <w:rPr>
          <w:rFonts w:asciiTheme="minorEastAsia" w:hAnsiTheme="minorEastAsia" w:cs="Arial" w:hint="eastAsia"/>
          <w:sz w:val="24"/>
        </w:rPr>
        <w:t xml:space="preserve">托管人或临时基金托管人应与基金管理人核对基金资产总值和净值； </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7.审计：基金托管人职责终止的，应当按照法律法规规定聘请会计师事务所对基金财产进行审计，并将审计结果予以公告，同时报中国证监会备案</w:t>
      </w:r>
      <w:r>
        <w:rPr>
          <w:rFonts w:asciiTheme="minorEastAsia" w:hAnsiTheme="minorEastAsia" w:cs="Arial" w:hint="eastAsia"/>
          <w:bCs/>
          <w:sz w:val="24"/>
        </w:rPr>
        <w:t>，审计费用从基金财产中列支</w:t>
      </w:r>
      <w:r>
        <w:rPr>
          <w:rFonts w:asciiTheme="minorEastAsia" w:hAnsiTheme="minorEastAsia" w:cs="Arial" w:hint="eastAsia"/>
          <w:sz w:val="24"/>
        </w:rPr>
        <w:t>。</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（三）基金管理人与基金托管人同时更换的条件和程序。</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1.提名：如果基金管理人和基金托管人同时更换，由单独或合计持有基金总份额10%以上（含10%）的基金份额持有人提名新的基金管理人和基金托管人；</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2.基金管理人和基金托管人的更换分别按上述程序进行；</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3.公告：</w:t>
      </w:r>
      <w:proofErr w:type="gramStart"/>
      <w:r>
        <w:rPr>
          <w:rFonts w:asciiTheme="minorEastAsia" w:hAnsiTheme="minorEastAsia" w:cs="Arial" w:hint="eastAsia"/>
          <w:sz w:val="24"/>
        </w:rPr>
        <w:t>新任基金</w:t>
      </w:r>
      <w:proofErr w:type="gramEnd"/>
      <w:r>
        <w:rPr>
          <w:rFonts w:asciiTheme="minorEastAsia" w:hAnsiTheme="minorEastAsia" w:cs="Arial" w:hint="eastAsia"/>
          <w:sz w:val="24"/>
        </w:rPr>
        <w:t>管理人和</w:t>
      </w:r>
      <w:proofErr w:type="gramStart"/>
      <w:r>
        <w:rPr>
          <w:rFonts w:asciiTheme="minorEastAsia" w:hAnsiTheme="minorEastAsia" w:cs="Arial" w:hint="eastAsia"/>
          <w:sz w:val="24"/>
        </w:rPr>
        <w:t>新任基金</w:t>
      </w:r>
      <w:proofErr w:type="gramEnd"/>
      <w:r>
        <w:rPr>
          <w:rFonts w:asciiTheme="minorEastAsia" w:hAnsiTheme="minorEastAsia" w:cs="Arial" w:hint="eastAsia"/>
          <w:sz w:val="24"/>
        </w:rPr>
        <w:t>托管人应在更换基金管理人和基金托管人的基金份额持有人大会决议生效后2日内在规定媒介上联合公告。</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（四）新任或临时基金管理人接收基金管理业务或新任或临时基金托管人接收基金财产和基金托管业务前，</w:t>
      </w:r>
      <w:proofErr w:type="gramStart"/>
      <w:r>
        <w:rPr>
          <w:rFonts w:asciiTheme="minorEastAsia" w:hAnsiTheme="minorEastAsia" w:cs="Arial" w:hint="eastAsia"/>
          <w:sz w:val="24"/>
        </w:rPr>
        <w:t>原基金</w:t>
      </w:r>
      <w:proofErr w:type="gramEnd"/>
      <w:r>
        <w:rPr>
          <w:rFonts w:asciiTheme="minorEastAsia" w:hAnsiTheme="minorEastAsia" w:cs="Arial" w:hint="eastAsia"/>
          <w:sz w:val="24"/>
        </w:rPr>
        <w:t>管理人或</w:t>
      </w:r>
      <w:proofErr w:type="gramStart"/>
      <w:r>
        <w:rPr>
          <w:rFonts w:asciiTheme="minorEastAsia" w:hAnsiTheme="minorEastAsia" w:cs="Arial" w:hint="eastAsia"/>
          <w:sz w:val="24"/>
        </w:rPr>
        <w:t>原基金</w:t>
      </w:r>
      <w:proofErr w:type="gramEnd"/>
      <w:r>
        <w:rPr>
          <w:rFonts w:asciiTheme="minorEastAsia" w:hAnsiTheme="minorEastAsia" w:cs="Arial" w:hint="eastAsia"/>
          <w:sz w:val="24"/>
        </w:rPr>
        <w:t>托管人应继续履行相关职责，并保证不做出对基金份额持有人的利益造成损害的行为。</w:t>
      </w:r>
    </w:p>
    <w:p w:rsidR="002F4F6D" w:rsidRDefault="002F4F6D">
      <w:pPr>
        <w:adjustRightInd w:val="0"/>
        <w:snapToGrid w:val="0"/>
        <w:spacing w:line="360" w:lineRule="auto"/>
        <w:rPr>
          <w:rFonts w:asciiTheme="minorEastAsia" w:hAnsiTheme="minorEastAsia" w:cs="Arial"/>
          <w:sz w:val="24"/>
        </w:rPr>
      </w:pPr>
    </w:p>
    <w:p w:rsidR="002F4F6D" w:rsidRDefault="007A5871">
      <w:pPr>
        <w:pStyle w:val="2"/>
        <w:spacing w:line="360" w:lineRule="auto"/>
        <w:jc w:val="center"/>
        <w:rPr>
          <w:rFonts w:asciiTheme="minorEastAsia" w:eastAsiaTheme="minorEastAsia" w:hAnsiTheme="minorEastAsia"/>
          <w:sz w:val="30"/>
        </w:rPr>
      </w:pPr>
      <w:bookmarkStart w:id="93" w:name="_Toc124325899"/>
      <w:r>
        <w:rPr>
          <w:rFonts w:asciiTheme="minorEastAsia" w:eastAsiaTheme="minorEastAsia" w:hAnsiTheme="minorEastAsia" w:hint="eastAsia"/>
          <w:sz w:val="30"/>
        </w:rPr>
        <w:t>十五、禁止行为</w:t>
      </w:r>
      <w:bookmarkEnd w:id="93"/>
    </w:p>
    <w:p w:rsidR="002F4F6D" w:rsidRDefault="007A5871">
      <w:pPr>
        <w:adjustRightInd w:val="0"/>
        <w:snapToGrid w:val="0"/>
        <w:spacing w:line="360" w:lineRule="auto"/>
        <w:ind w:firstLineChars="200" w:firstLine="480"/>
        <w:outlineLvl w:val="0"/>
        <w:rPr>
          <w:rFonts w:asciiTheme="minorEastAsia" w:hAnsiTheme="minorEastAsia" w:cs="Arial"/>
          <w:sz w:val="24"/>
        </w:rPr>
      </w:pPr>
      <w:r>
        <w:rPr>
          <w:rFonts w:asciiTheme="minorEastAsia" w:hAnsiTheme="minorEastAsia" w:cs="Arial" w:hint="eastAsia"/>
          <w:sz w:val="24"/>
        </w:rPr>
        <w:t>本协议当事人禁止从事的行为，包括但不限于：</w:t>
      </w:r>
    </w:p>
    <w:p w:rsidR="002F4F6D" w:rsidRDefault="007A5871">
      <w:pPr>
        <w:spacing w:line="360" w:lineRule="auto"/>
        <w:ind w:firstLineChars="200" w:firstLine="480"/>
        <w:rPr>
          <w:rFonts w:asciiTheme="minorEastAsia" w:hAnsiTheme="minorEastAsia"/>
          <w:sz w:val="24"/>
        </w:rPr>
      </w:pPr>
      <w:r>
        <w:rPr>
          <w:rFonts w:asciiTheme="minorEastAsia" w:hAnsiTheme="minorEastAsia" w:hint="eastAsia"/>
          <w:sz w:val="24"/>
        </w:rPr>
        <w:t>（一）基金管理人、基金托管人将其固有财产或者他人财产混同于基金财产从事证券投资。</w:t>
      </w:r>
    </w:p>
    <w:p w:rsidR="002F4F6D" w:rsidRDefault="007A5871">
      <w:pPr>
        <w:spacing w:line="360" w:lineRule="auto"/>
        <w:ind w:firstLineChars="200" w:firstLine="480"/>
        <w:rPr>
          <w:rFonts w:asciiTheme="minorEastAsia" w:hAnsiTheme="minorEastAsia"/>
        </w:rPr>
      </w:pPr>
      <w:r>
        <w:rPr>
          <w:rFonts w:asciiTheme="minorEastAsia" w:hAnsiTheme="minorEastAsia" w:hint="eastAsia"/>
          <w:sz w:val="24"/>
        </w:rPr>
        <w:t>（二）基金管理人不公平地对待其管理的不同基金财产，基金托管人不公平地对待其托管的不同基金财产。</w:t>
      </w:r>
    </w:p>
    <w:p w:rsidR="002F4F6D" w:rsidRDefault="007A5871">
      <w:pPr>
        <w:spacing w:line="360" w:lineRule="auto"/>
        <w:ind w:firstLineChars="200" w:firstLine="480"/>
        <w:rPr>
          <w:rFonts w:asciiTheme="minorEastAsia" w:hAnsiTheme="minorEastAsia"/>
          <w:sz w:val="24"/>
        </w:rPr>
      </w:pPr>
      <w:r>
        <w:rPr>
          <w:rFonts w:asciiTheme="minorEastAsia" w:hAnsiTheme="minorEastAsia" w:hint="eastAsia"/>
          <w:sz w:val="24"/>
        </w:rPr>
        <w:t>（三）基金管理人、基金托管人利用基金财产为基金份额持有人以外的第三人牟取利益。</w:t>
      </w:r>
    </w:p>
    <w:p w:rsidR="002F4F6D" w:rsidRDefault="007A5871">
      <w:pPr>
        <w:spacing w:line="360" w:lineRule="auto"/>
        <w:ind w:firstLineChars="200" w:firstLine="480"/>
        <w:rPr>
          <w:rFonts w:asciiTheme="minorEastAsia" w:hAnsiTheme="minorEastAsia"/>
          <w:sz w:val="24"/>
        </w:rPr>
      </w:pPr>
      <w:r>
        <w:rPr>
          <w:rFonts w:asciiTheme="minorEastAsia" w:hAnsiTheme="minorEastAsia" w:hint="eastAsia"/>
          <w:sz w:val="24"/>
        </w:rPr>
        <w:t>（四）基金管理人、基金托管人向基金份额持有人违规承诺收益或者承担损失。</w:t>
      </w:r>
    </w:p>
    <w:p w:rsidR="002F4F6D" w:rsidRDefault="007A5871">
      <w:pPr>
        <w:adjustRightInd w:val="0"/>
        <w:snapToGrid w:val="0"/>
        <w:spacing w:line="360" w:lineRule="auto"/>
        <w:ind w:firstLineChars="200" w:firstLine="480"/>
        <w:outlineLvl w:val="0"/>
        <w:rPr>
          <w:rFonts w:asciiTheme="minorEastAsia" w:hAnsiTheme="minorEastAsia" w:cs="Arial"/>
          <w:sz w:val="24"/>
        </w:rPr>
      </w:pPr>
      <w:r>
        <w:rPr>
          <w:rFonts w:asciiTheme="minorEastAsia" w:hAnsiTheme="minorEastAsia" w:cs="Arial" w:hint="eastAsia"/>
          <w:sz w:val="24"/>
        </w:rPr>
        <w:t>（五）基金管理人、基金托管人对他人泄漏基金运作和管理过程中任何尚未按法律法规规定的方式公开披露的信息。</w:t>
      </w:r>
    </w:p>
    <w:p w:rsidR="002F4F6D" w:rsidRDefault="007A5871">
      <w:pPr>
        <w:pStyle w:val="a8"/>
        <w:spacing w:line="360" w:lineRule="auto"/>
        <w:outlineLvl w:val="0"/>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（六）基金管理人在没有充足资金的情况下向基金托管人发出投资指令和赎回、分红资金的划拨指令，或违规向基金托管人发出指令。</w:t>
      </w:r>
    </w:p>
    <w:p w:rsidR="002F4F6D" w:rsidRDefault="007A5871">
      <w:pPr>
        <w:adjustRightInd w:val="0"/>
        <w:snapToGrid w:val="0"/>
        <w:spacing w:line="360" w:lineRule="auto"/>
        <w:ind w:firstLineChars="200" w:firstLine="480"/>
        <w:outlineLvl w:val="0"/>
        <w:rPr>
          <w:rFonts w:asciiTheme="minorEastAsia" w:hAnsiTheme="minorEastAsia" w:cs="Arial"/>
          <w:sz w:val="24"/>
        </w:rPr>
      </w:pPr>
      <w:r>
        <w:rPr>
          <w:rFonts w:asciiTheme="minorEastAsia" w:hAnsiTheme="minorEastAsia" w:cs="Arial" w:hint="eastAsia"/>
          <w:sz w:val="24"/>
        </w:rPr>
        <w:t>（七）基金管理人、基金托管人在行政上、财务上不</w:t>
      </w:r>
      <w:proofErr w:type="gramStart"/>
      <w:r>
        <w:rPr>
          <w:rFonts w:asciiTheme="minorEastAsia" w:hAnsiTheme="minorEastAsia" w:cs="Arial" w:hint="eastAsia"/>
          <w:sz w:val="24"/>
        </w:rPr>
        <w:t>独立,</w:t>
      </w:r>
      <w:proofErr w:type="gramEnd"/>
      <w:r>
        <w:rPr>
          <w:rFonts w:asciiTheme="minorEastAsia" w:hAnsiTheme="minorEastAsia" w:cs="Arial" w:hint="eastAsia"/>
          <w:sz w:val="24"/>
        </w:rPr>
        <w:t xml:space="preserve"> 其高级管理人员和其他从业人员相互兼职。</w:t>
      </w:r>
    </w:p>
    <w:p w:rsidR="002F4F6D" w:rsidRDefault="007A5871">
      <w:pPr>
        <w:spacing w:line="360" w:lineRule="auto"/>
        <w:ind w:firstLineChars="200" w:firstLine="480"/>
        <w:rPr>
          <w:rFonts w:asciiTheme="minorEastAsia" w:hAnsiTheme="minorEastAsia" w:cs="Arial"/>
          <w:sz w:val="24"/>
        </w:rPr>
      </w:pPr>
      <w:r>
        <w:rPr>
          <w:rFonts w:asciiTheme="minorEastAsia" w:hAnsiTheme="minorEastAsia" w:cs="Arial" w:hint="eastAsia"/>
          <w:sz w:val="24"/>
        </w:rPr>
        <w:t>（八）基金托管人私自动用或处分基金财产，根据基金管理人的合法指令、《基金合同》或托管协议的规定进行处分的除外。</w:t>
      </w:r>
    </w:p>
    <w:p w:rsidR="002F4F6D" w:rsidRDefault="007A5871">
      <w:pPr>
        <w:spacing w:line="360" w:lineRule="auto"/>
        <w:ind w:firstLineChars="200" w:firstLine="480"/>
        <w:rPr>
          <w:rFonts w:asciiTheme="minorEastAsia" w:hAnsiTheme="minorEastAsia"/>
          <w:sz w:val="24"/>
        </w:rPr>
      </w:pPr>
      <w:r>
        <w:rPr>
          <w:rFonts w:asciiTheme="minorEastAsia" w:hAnsiTheme="minorEastAsia" w:hint="eastAsia"/>
          <w:sz w:val="24"/>
        </w:rPr>
        <w:t>（九）</w:t>
      </w:r>
      <w:r>
        <w:rPr>
          <w:rFonts w:asciiTheme="minorEastAsia" w:hAnsiTheme="minorEastAsia" w:cs="Arial" w:hint="eastAsia"/>
          <w:sz w:val="24"/>
        </w:rPr>
        <w:t>基金财产</w:t>
      </w:r>
      <w:r>
        <w:rPr>
          <w:rFonts w:asciiTheme="minorEastAsia" w:hAnsiTheme="minorEastAsia" w:hint="eastAsia"/>
          <w:sz w:val="24"/>
        </w:rPr>
        <w:t>用于下列投资或者活动：1.承销证券；2.违反规定向他人贷款或者提供担保；3.从事承担无限责任的投资；4.</w:t>
      </w:r>
      <w:r>
        <w:rPr>
          <w:rFonts w:asciiTheme="minorEastAsia" w:hAnsiTheme="minorEastAsia" w:hint="eastAsia"/>
        </w:rPr>
        <w:t xml:space="preserve"> </w:t>
      </w:r>
      <w:r>
        <w:rPr>
          <w:rFonts w:asciiTheme="minorEastAsia" w:hAnsiTheme="minorEastAsia" w:hint="eastAsia"/>
          <w:sz w:val="24"/>
        </w:rPr>
        <w:t>买卖其他基金份额，但是国务院证券监督管理机构另有规定的除外；5.向其基金管理人、基金托管人出资；6.从事内幕交易、操纵证券交易价格及其他不正当的证券交易活动；7.法律、行政法规和国务院证券监督管理机构规定禁止的其他活动。</w:t>
      </w:r>
      <w:r>
        <w:rPr>
          <w:rFonts w:asciiTheme="minorEastAsia" w:hAnsiTheme="minorEastAsia" w:cs="Arial" w:hint="eastAsia"/>
          <w:sz w:val="24"/>
        </w:rPr>
        <w:t>法律法规或监管部门取消上述限制，如适用于本基金，则本基金投资不再受相关限制</w:t>
      </w:r>
      <w:r>
        <w:rPr>
          <w:rFonts w:asciiTheme="minorEastAsia" w:hAnsiTheme="minorEastAsia" w:hint="eastAsia"/>
          <w:sz w:val="24"/>
        </w:rPr>
        <w:t>。</w:t>
      </w:r>
    </w:p>
    <w:p w:rsidR="002F4F6D" w:rsidRDefault="007A5871">
      <w:pPr>
        <w:adjustRightInd w:val="0"/>
        <w:snapToGrid w:val="0"/>
        <w:spacing w:line="360" w:lineRule="auto"/>
        <w:ind w:firstLineChars="200" w:firstLine="480"/>
        <w:outlineLvl w:val="0"/>
        <w:rPr>
          <w:rFonts w:asciiTheme="minorEastAsia" w:hAnsiTheme="minorEastAsia" w:cs="Arial"/>
          <w:sz w:val="24"/>
        </w:rPr>
      </w:pPr>
      <w:r>
        <w:rPr>
          <w:rFonts w:asciiTheme="minorEastAsia" w:hAnsiTheme="minorEastAsia" w:cs="Arial" w:hint="eastAsia"/>
          <w:sz w:val="24"/>
        </w:rPr>
        <w:t>（十）法律法规和《基金合同》禁止的其他行为，以及</w:t>
      </w:r>
      <w:r>
        <w:rPr>
          <w:rFonts w:asciiTheme="minorEastAsia" w:hAnsiTheme="minorEastAsia" w:hint="eastAsia"/>
          <w:sz w:val="24"/>
        </w:rPr>
        <w:t>依照法律、行政法规有关规定，由国务院证券监督管理机构规定禁止基金管理人、基金托管人从事的其他行为。</w:t>
      </w:r>
    </w:p>
    <w:p w:rsidR="002F4F6D" w:rsidRDefault="002F4F6D">
      <w:pPr>
        <w:adjustRightInd w:val="0"/>
        <w:snapToGrid w:val="0"/>
        <w:spacing w:line="360" w:lineRule="auto"/>
        <w:rPr>
          <w:rFonts w:asciiTheme="minorEastAsia" w:hAnsiTheme="minorEastAsia"/>
          <w:sz w:val="30"/>
          <w:szCs w:val="30"/>
        </w:rPr>
      </w:pPr>
    </w:p>
    <w:p w:rsidR="002F4F6D" w:rsidRDefault="007A5871">
      <w:pPr>
        <w:pStyle w:val="2"/>
        <w:spacing w:line="360" w:lineRule="auto"/>
        <w:jc w:val="center"/>
        <w:rPr>
          <w:rFonts w:asciiTheme="minorEastAsia" w:eastAsiaTheme="minorEastAsia" w:hAnsiTheme="minorEastAsia"/>
          <w:sz w:val="30"/>
        </w:rPr>
      </w:pPr>
      <w:bookmarkStart w:id="94" w:name="_Toc124325900"/>
      <w:r>
        <w:rPr>
          <w:rFonts w:asciiTheme="minorEastAsia" w:eastAsiaTheme="minorEastAsia" w:hAnsiTheme="minorEastAsia" w:hint="eastAsia"/>
          <w:sz w:val="30"/>
        </w:rPr>
        <w:t>十六、托管协议的变更、终止与基金财产的清算</w:t>
      </w:r>
      <w:bookmarkEnd w:id="94"/>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（一）托管协议的变更程序</w:t>
      </w:r>
    </w:p>
    <w:p w:rsidR="002F4F6D" w:rsidRDefault="007A5871">
      <w:pPr>
        <w:adjustRightInd w:val="0"/>
        <w:snapToGrid w:val="0"/>
        <w:spacing w:line="360" w:lineRule="auto"/>
        <w:ind w:firstLineChars="200" w:firstLine="480"/>
        <w:rPr>
          <w:rFonts w:asciiTheme="minorEastAsia" w:hAnsiTheme="minorEastAsia"/>
          <w:sz w:val="30"/>
          <w:szCs w:val="30"/>
        </w:rPr>
      </w:pPr>
      <w:r>
        <w:rPr>
          <w:rFonts w:asciiTheme="minorEastAsia" w:hAnsiTheme="minorEastAsia" w:cs="Arial" w:hint="eastAsia"/>
          <w:sz w:val="24"/>
        </w:rPr>
        <w:t>本协议双方当事人经协商一致，可以对协议进行修改。修改后的新协议，其内容不得与《基金合同》的规定有任何冲突。基金托管协议的变更报中国证监会备案后生效。</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（二）托管协议终止的情形</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1.《基金合同》终止；</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2.基金托管人解散、依法被撤销、破产或由其他基金托管人接管基金资产；</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3.基金管理人解散、依法被撤销、破产或由其他基金管理人接管基金管理权；</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4.发生法律法规或《基金合同》规定的终止事项。</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（三）基金财产的清算</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1、基金财产清算小组：自出现《基金合同》终止事由之日起30个工作日内成</w:t>
      </w:r>
      <w:r>
        <w:rPr>
          <w:rFonts w:asciiTheme="minorEastAsia" w:hAnsiTheme="minorEastAsia" w:cs="Arial" w:hint="eastAsia"/>
          <w:sz w:val="24"/>
        </w:rPr>
        <w:lastRenderedPageBreak/>
        <w:t>立清算小组，基金管理人组织基金财产清算小组并在中国证监会的监督下进行基金清算。</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2、基金财产清算小组组成：基金财产清算小组成员由基金管理人、基金托管人、符合《证券法》规定的注册会计师、律师以及中国证监会指定的人员组成。基金财产清算小组可以聘用必要的工作人员。</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3、基金财产清算小组职责：基金财产清算小组负责基金财产的保管、清理、估价、变现和分配。基金财产清算小组可以依法进行必要的民事活动。</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4.基金财产清算程序：</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（1）《基金合同》终止情形出现时，由基金财产清算小组统一接管基金；</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（2）对基金财产和债权债务进行清理和确认；</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（3）对基金财产进行估值和变现；</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（4）制作清算报告；</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（5）聘请会计师事务所对清算报告进行外部审计，聘请律师事务所对清算报告出具法律意见书；</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（6）将清算报告报中国证监会备案并公告；</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（7）对基金剩余财产进行分配。</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5.基金财产清算的期限为6个月，但因本基金所持证券的流动性受到限制而不能及时变现的，清算期限相应顺延。</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6.清算费用</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清算费用是指基金财产清算小组在进行基金清算过程中发生的所有合理费用，清算费用由基金财产清算小组优先从基金财产中支付。</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7.基金财产清算剩余资产的分配：</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8.基金财产清算的公告</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清算过程中的有关重大事项须及时公告；基金财产清算报告</w:t>
      </w:r>
      <w:proofErr w:type="gramStart"/>
      <w:r>
        <w:rPr>
          <w:rFonts w:asciiTheme="minorEastAsia" w:hAnsiTheme="minorEastAsia" w:cs="Arial" w:hint="eastAsia"/>
          <w:sz w:val="24"/>
        </w:rPr>
        <w:t>经</w:t>
      </w:r>
      <w:r>
        <w:rPr>
          <w:rFonts w:hint="eastAsia"/>
          <w:bCs/>
          <w:sz w:val="24"/>
        </w:rPr>
        <w:t>符合</w:t>
      </w:r>
      <w:proofErr w:type="gramEnd"/>
      <w:r>
        <w:rPr>
          <w:rFonts w:hint="eastAsia"/>
          <w:bCs/>
          <w:sz w:val="24"/>
        </w:rPr>
        <w:t>《证券法》规定的</w:t>
      </w:r>
      <w:r>
        <w:rPr>
          <w:rFonts w:asciiTheme="minorEastAsia" w:hAnsiTheme="minorEastAsia" w:cs="Arial" w:hint="eastAsia"/>
          <w:sz w:val="24"/>
        </w:rPr>
        <w:t>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w:t>
      </w:r>
      <w:r>
        <w:rPr>
          <w:rFonts w:asciiTheme="minorEastAsia" w:hAnsiTheme="minorEastAsia" w:cs="Arial" w:hint="eastAsia"/>
          <w:sz w:val="24"/>
        </w:rPr>
        <w:lastRenderedPageBreak/>
        <w:t>网站上，并将清算报告提示性公告登载在规定报刊上。</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9.基金财产清算账册及文件的保存</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基金财产清算账册及有关文件由基金托管人保存，保存期限不得低于法律法规规定的最低期限。</w:t>
      </w:r>
    </w:p>
    <w:p w:rsidR="002F4F6D" w:rsidRDefault="002F4F6D">
      <w:pPr>
        <w:adjustRightInd w:val="0"/>
        <w:snapToGrid w:val="0"/>
        <w:spacing w:line="360" w:lineRule="auto"/>
        <w:rPr>
          <w:rFonts w:asciiTheme="minorEastAsia" w:hAnsiTheme="minorEastAsia" w:cs="Arial"/>
          <w:sz w:val="24"/>
        </w:rPr>
      </w:pPr>
    </w:p>
    <w:p w:rsidR="002F4F6D" w:rsidRDefault="007A5871">
      <w:pPr>
        <w:pStyle w:val="2"/>
        <w:spacing w:line="360" w:lineRule="auto"/>
        <w:jc w:val="center"/>
        <w:rPr>
          <w:rFonts w:asciiTheme="minorEastAsia" w:eastAsiaTheme="minorEastAsia" w:hAnsiTheme="minorEastAsia"/>
          <w:sz w:val="30"/>
        </w:rPr>
      </w:pPr>
      <w:bookmarkStart w:id="95" w:name="_Toc124325901"/>
      <w:r>
        <w:rPr>
          <w:rFonts w:asciiTheme="minorEastAsia" w:eastAsiaTheme="minorEastAsia" w:hAnsiTheme="minorEastAsia" w:hint="eastAsia"/>
          <w:sz w:val="30"/>
        </w:rPr>
        <w:t>十七、违约责任</w:t>
      </w:r>
      <w:bookmarkEnd w:id="95"/>
    </w:p>
    <w:p w:rsidR="002F4F6D" w:rsidRDefault="007A5871">
      <w:pPr>
        <w:adjustRightInd w:val="0"/>
        <w:snapToGrid w:val="0"/>
        <w:spacing w:line="360" w:lineRule="auto"/>
        <w:ind w:firstLineChars="200" w:firstLine="480"/>
        <w:outlineLvl w:val="0"/>
        <w:rPr>
          <w:rFonts w:asciiTheme="minorEastAsia" w:hAnsiTheme="minorEastAsia" w:cs="Arial"/>
          <w:sz w:val="24"/>
        </w:rPr>
      </w:pPr>
      <w:r>
        <w:rPr>
          <w:rFonts w:asciiTheme="minorEastAsia" w:hAnsiTheme="minorEastAsia" w:cs="Arial" w:hint="eastAsia"/>
          <w:sz w:val="24"/>
        </w:rPr>
        <w:t>（一）基金管理人、基金托管人不履行本协议或履行本协议不符合约定的，应当承担违约责任。</w:t>
      </w:r>
    </w:p>
    <w:p w:rsidR="002F4F6D" w:rsidRDefault="007A5871">
      <w:pPr>
        <w:adjustRightInd w:val="0"/>
        <w:snapToGrid w:val="0"/>
        <w:spacing w:line="360" w:lineRule="auto"/>
        <w:ind w:firstLineChars="200" w:firstLine="480"/>
        <w:outlineLvl w:val="0"/>
        <w:rPr>
          <w:rFonts w:asciiTheme="minorEastAsia" w:hAnsiTheme="minorEastAsia" w:cs="Arial"/>
          <w:sz w:val="24"/>
        </w:rPr>
      </w:pPr>
      <w:r>
        <w:rPr>
          <w:rFonts w:asciiTheme="minorEastAsia" w:hAnsiTheme="minorEastAsia"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2F4F6D" w:rsidRDefault="007A5871">
      <w:pPr>
        <w:adjustRightInd w:val="0"/>
        <w:snapToGrid w:val="0"/>
        <w:spacing w:line="360" w:lineRule="auto"/>
        <w:ind w:firstLineChars="200" w:firstLine="480"/>
        <w:outlineLvl w:val="0"/>
        <w:rPr>
          <w:rFonts w:asciiTheme="minorEastAsia" w:hAnsiTheme="minorEastAsia" w:cs="Arial"/>
          <w:sz w:val="24"/>
        </w:rPr>
      </w:pPr>
      <w:r>
        <w:rPr>
          <w:rFonts w:asciiTheme="minorEastAsia" w:hAnsiTheme="minorEastAsia"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1.不可抗力；</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2.基金管理人、基金托管人按照当时有效的法律法规或中国证监会的规定作为或不作为而造成的损失等；</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3.在没有过错的情况下，基金管理人由于按照《基金合同》规定的投资原则投资或不投资造成的直接损失或潜在损失等；</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2F4F6D" w:rsidRDefault="007A5871">
      <w:pPr>
        <w:adjustRightInd w:val="0"/>
        <w:snapToGrid w:val="0"/>
        <w:spacing w:line="360" w:lineRule="auto"/>
        <w:ind w:firstLineChars="200" w:firstLine="480"/>
        <w:outlineLvl w:val="0"/>
        <w:rPr>
          <w:rFonts w:asciiTheme="minorEastAsia" w:hAnsiTheme="minorEastAsia" w:cs="Arial"/>
          <w:sz w:val="24"/>
        </w:rPr>
      </w:pPr>
      <w:r>
        <w:rPr>
          <w:rFonts w:asciiTheme="minorEastAsia" w:hAnsiTheme="minorEastAsia" w:cs="Arial" w:hint="eastAsia"/>
          <w:sz w:val="24"/>
        </w:rPr>
        <w:t>（五）违约行为虽已发生，但本托管协议能够继续履行的，在最大限度地保护基金份额持有人利益的前提下，基金管理人和基金托管人应当继续履行本协议。</w:t>
      </w:r>
    </w:p>
    <w:p w:rsidR="002F4F6D" w:rsidRDefault="007A5871">
      <w:pPr>
        <w:adjustRightInd w:val="0"/>
        <w:snapToGrid w:val="0"/>
        <w:spacing w:line="360" w:lineRule="auto"/>
        <w:ind w:firstLineChars="200" w:firstLine="480"/>
        <w:outlineLvl w:val="0"/>
        <w:rPr>
          <w:rFonts w:asciiTheme="minorEastAsia" w:hAnsiTheme="minorEastAsia" w:cs="Arial"/>
          <w:sz w:val="24"/>
        </w:rPr>
      </w:pPr>
      <w:r>
        <w:rPr>
          <w:rFonts w:asciiTheme="minorEastAsia" w:hAnsiTheme="minorEastAsia"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w:t>
      </w:r>
      <w:r>
        <w:rPr>
          <w:rFonts w:asciiTheme="minorEastAsia" w:hAnsiTheme="minorEastAsia" w:cs="Arial" w:hint="eastAsia"/>
          <w:sz w:val="24"/>
        </w:rPr>
        <w:lastRenderedPageBreak/>
        <w:t>任。但是基金管理人和基金托管人应积极采取必要的措施减轻或消除由此造成的影响。</w:t>
      </w:r>
    </w:p>
    <w:p w:rsidR="002F4F6D" w:rsidRDefault="002F4F6D">
      <w:pPr>
        <w:rPr>
          <w:rFonts w:asciiTheme="minorEastAsia" w:hAnsiTheme="minorEastAsia"/>
        </w:rPr>
      </w:pPr>
    </w:p>
    <w:p w:rsidR="002F4F6D" w:rsidRDefault="007A5871">
      <w:pPr>
        <w:pStyle w:val="2"/>
        <w:spacing w:line="360" w:lineRule="auto"/>
        <w:jc w:val="center"/>
        <w:rPr>
          <w:rFonts w:asciiTheme="minorEastAsia" w:eastAsiaTheme="minorEastAsia" w:hAnsiTheme="minorEastAsia"/>
          <w:sz w:val="30"/>
        </w:rPr>
      </w:pPr>
      <w:bookmarkStart w:id="96" w:name="_Toc124325902"/>
      <w:r>
        <w:rPr>
          <w:rFonts w:asciiTheme="minorEastAsia" w:eastAsiaTheme="minorEastAsia" w:hAnsiTheme="minorEastAsia" w:hint="eastAsia"/>
          <w:sz w:val="30"/>
        </w:rPr>
        <w:t>十八、争议解决方式</w:t>
      </w:r>
      <w:bookmarkEnd w:id="96"/>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争议处理期间，双方当事人应恪守基金管理人和基金托管人职责，各自继续忠实、勤勉、尽责地履行《基金合同》和本托管协议规定的义务，维护基金份额持有人的合法权益。</w:t>
      </w:r>
    </w:p>
    <w:p w:rsidR="002F4F6D" w:rsidRDefault="007A5871">
      <w:pPr>
        <w:spacing w:line="360" w:lineRule="auto"/>
        <w:ind w:firstLineChars="200" w:firstLine="480"/>
        <w:rPr>
          <w:sz w:val="24"/>
        </w:rPr>
      </w:pPr>
      <w:r>
        <w:rPr>
          <w:rFonts w:asciiTheme="minorEastAsia" w:hAnsiTheme="minorEastAsia" w:cs="Arial" w:hint="eastAsia"/>
          <w:sz w:val="24"/>
        </w:rPr>
        <w:t>本协议受中国法律</w:t>
      </w:r>
      <w:r>
        <w:rPr>
          <w:rFonts w:hint="eastAsia"/>
          <w:bCs/>
          <w:sz w:val="24"/>
        </w:rPr>
        <w:t>（为本协议之目的，不包括香港、澳门特别行政区及台湾地区法律）</w:t>
      </w:r>
      <w:r>
        <w:rPr>
          <w:sz w:val="24"/>
        </w:rPr>
        <w:t>管辖。</w:t>
      </w:r>
    </w:p>
    <w:p w:rsidR="002F4F6D" w:rsidRDefault="002F4F6D">
      <w:pPr>
        <w:adjustRightInd w:val="0"/>
        <w:snapToGrid w:val="0"/>
        <w:spacing w:line="360" w:lineRule="auto"/>
        <w:rPr>
          <w:rFonts w:asciiTheme="minorEastAsia" w:hAnsiTheme="minorEastAsia" w:cs="Arial"/>
          <w:sz w:val="24"/>
        </w:rPr>
      </w:pPr>
    </w:p>
    <w:p w:rsidR="002F4F6D" w:rsidRDefault="007A5871">
      <w:pPr>
        <w:pStyle w:val="2"/>
        <w:spacing w:line="360" w:lineRule="auto"/>
        <w:jc w:val="center"/>
        <w:rPr>
          <w:rFonts w:asciiTheme="minorEastAsia" w:eastAsiaTheme="minorEastAsia" w:hAnsiTheme="minorEastAsia"/>
          <w:sz w:val="30"/>
        </w:rPr>
      </w:pPr>
      <w:bookmarkStart w:id="97" w:name="_Toc124325903"/>
      <w:r>
        <w:rPr>
          <w:rFonts w:asciiTheme="minorEastAsia" w:eastAsiaTheme="minorEastAsia" w:hAnsiTheme="minorEastAsia" w:hint="eastAsia"/>
          <w:sz w:val="30"/>
        </w:rPr>
        <w:t>十九、托管协议的效力</w:t>
      </w:r>
      <w:bookmarkEnd w:id="97"/>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双方对托管协议的效力约定如下：</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备案的文本为正式文本。</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（二）托管协议自《基金合同》成立之日起成立，自《基金合同》生效之日起生效。托管协议的有效期自其生效之日起至基金财产清算结果报中国证监会备案并公告之日止。</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（三）托管协议自生效之日起对托管协议当事人具有同等的法律约束力。</w:t>
      </w:r>
    </w:p>
    <w:p w:rsidR="002F4F6D" w:rsidRDefault="007A5871">
      <w:pPr>
        <w:adjustRightInd w:val="0"/>
        <w:snapToGrid w:val="0"/>
        <w:spacing w:line="360" w:lineRule="auto"/>
        <w:ind w:firstLineChars="200" w:firstLine="480"/>
        <w:rPr>
          <w:rFonts w:asciiTheme="minorEastAsia" w:hAnsiTheme="minorEastAsia"/>
          <w:sz w:val="30"/>
          <w:szCs w:val="30"/>
        </w:rPr>
      </w:pPr>
      <w:r>
        <w:rPr>
          <w:rFonts w:asciiTheme="minorEastAsia" w:hAnsiTheme="minorEastAsia" w:cs="Arial" w:hint="eastAsia"/>
          <w:sz w:val="24"/>
        </w:rPr>
        <w:t>（四）本协议一式六份，协议双方各持二份，上报监管机构二份，每份具有同等的法律效力。</w:t>
      </w:r>
    </w:p>
    <w:p w:rsidR="002F4F6D" w:rsidRDefault="002F4F6D">
      <w:pPr>
        <w:adjustRightInd w:val="0"/>
        <w:snapToGrid w:val="0"/>
        <w:spacing w:line="360" w:lineRule="auto"/>
        <w:rPr>
          <w:rFonts w:asciiTheme="minorEastAsia" w:hAnsiTheme="minorEastAsia" w:cs="Arial"/>
          <w:sz w:val="24"/>
        </w:rPr>
      </w:pPr>
    </w:p>
    <w:p w:rsidR="002F4F6D" w:rsidRDefault="007A5871">
      <w:pPr>
        <w:pStyle w:val="2"/>
        <w:spacing w:line="360" w:lineRule="auto"/>
        <w:jc w:val="center"/>
        <w:rPr>
          <w:rFonts w:asciiTheme="minorEastAsia" w:eastAsiaTheme="minorEastAsia" w:hAnsiTheme="minorEastAsia"/>
          <w:sz w:val="30"/>
        </w:rPr>
      </w:pPr>
      <w:bookmarkStart w:id="98" w:name="_Toc124325904"/>
      <w:r>
        <w:rPr>
          <w:rFonts w:asciiTheme="minorEastAsia" w:eastAsiaTheme="minorEastAsia" w:hAnsiTheme="minorEastAsia" w:hint="eastAsia"/>
          <w:sz w:val="30"/>
        </w:rPr>
        <w:lastRenderedPageBreak/>
        <w:t>二十、其他事项</w:t>
      </w:r>
      <w:bookmarkEnd w:id="98"/>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如发生有权司法机关依法冻结基金份额持有人的基金份额时，基金管理人应予以配合，承担司法协助义务。</w:t>
      </w:r>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除本协议有明确定义外，本协议的用语定义适用《基金合同》的约定。本协议未尽事宜，当事人依据《基金合同》、有关法律法规等规定协商办理。</w:t>
      </w:r>
    </w:p>
    <w:p w:rsidR="002F4F6D" w:rsidRDefault="002F4F6D">
      <w:pPr>
        <w:adjustRightInd w:val="0"/>
        <w:snapToGrid w:val="0"/>
        <w:spacing w:line="360" w:lineRule="auto"/>
        <w:rPr>
          <w:rFonts w:asciiTheme="minorEastAsia" w:hAnsiTheme="minorEastAsia"/>
          <w:b/>
          <w:bCs/>
        </w:rPr>
      </w:pPr>
    </w:p>
    <w:p w:rsidR="002F4F6D" w:rsidRDefault="007A5871">
      <w:pPr>
        <w:pStyle w:val="2"/>
        <w:spacing w:line="360" w:lineRule="auto"/>
        <w:jc w:val="center"/>
        <w:rPr>
          <w:rFonts w:asciiTheme="minorEastAsia" w:eastAsiaTheme="minorEastAsia" w:hAnsiTheme="minorEastAsia"/>
          <w:sz w:val="30"/>
        </w:rPr>
      </w:pPr>
      <w:bookmarkStart w:id="99" w:name="_Toc124325905"/>
      <w:r>
        <w:rPr>
          <w:rFonts w:asciiTheme="minorEastAsia" w:eastAsiaTheme="minorEastAsia" w:hAnsiTheme="minorEastAsia" w:hint="eastAsia"/>
          <w:sz w:val="30"/>
        </w:rPr>
        <w:t>二十一、托管协议的签订</w:t>
      </w:r>
      <w:bookmarkEnd w:id="99"/>
    </w:p>
    <w:p w:rsidR="002F4F6D" w:rsidRDefault="007A5871">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本协议双方法定代表人或授权代表签章、签订地、签订日</w:t>
      </w:r>
    </w:p>
    <w:p w:rsidR="002F4F6D" w:rsidRDefault="002F4F6D">
      <w:pPr>
        <w:adjustRightInd w:val="0"/>
        <w:snapToGrid w:val="0"/>
        <w:spacing w:line="360" w:lineRule="auto"/>
        <w:ind w:firstLineChars="200" w:firstLine="480"/>
        <w:rPr>
          <w:rFonts w:asciiTheme="minorEastAsia" w:hAnsiTheme="minorEastAsia" w:cs="Arial"/>
          <w:sz w:val="24"/>
        </w:rPr>
        <w:sectPr w:rsidR="002F4F6D">
          <w:footerReference w:type="default" r:id="rId11"/>
          <w:pgSz w:w="11906" w:h="16838"/>
          <w:pgMar w:top="1418" w:right="1701" w:bottom="1418" w:left="1701" w:header="851" w:footer="992" w:gutter="0"/>
          <w:pgNumType w:start="0"/>
          <w:cols w:space="425"/>
          <w:titlePg/>
          <w:docGrid w:type="lines" w:linePitch="312"/>
        </w:sectPr>
      </w:pPr>
    </w:p>
    <w:p w:rsidR="002F4F6D" w:rsidRDefault="007A5871">
      <w:pPr>
        <w:spacing w:after="120" w:line="360" w:lineRule="auto"/>
        <w:rPr>
          <w:rFonts w:asciiTheme="minorEastAsia" w:hAnsiTheme="minorEastAsia"/>
          <w:b/>
          <w:sz w:val="24"/>
          <w:szCs w:val="21"/>
        </w:rPr>
      </w:pPr>
      <w:r>
        <w:rPr>
          <w:rFonts w:asciiTheme="minorEastAsia" w:hAnsiTheme="minorEastAsia" w:hint="eastAsia"/>
          <w:b/>
          <w:sz w:val="24"/>
          <w:szCs w:val="21"/>
        </w:rPr>
        <w:lastRenderedPageBreak/>
        <w:t>本页无正文，为《广发</w:t>
      </w:r>
      <w:r w:rsidR="00FB41DB">
        <w:rPr>
          <w:rFonts w:asciiTheme="minorEastAsia" w:hAnsiTheme="minorEastAsia" w:hint="eastAsia"/>
          <w:b/>
          <w:sz w:val="24"/>
          <w:szCs w:val="21"/>
        </w:rPr>
        <w:t>成长领航</w:t>
      </w:r>
      <w:r>
        <w:rPr>
          <w:rFonts w:asciiTheme="minorEastAsia" w:hAnsiTheme="minorEastAsia" w:hint="eastAsia"/>
          <w:b/>
          <w:sz w:val="24"/>
          <w:szCs w:val="21"/>
        </w:rPr>
        <w:t>一年持有期混合型证券投资基金托管协议</w:t>
      </w:r>
      <w:r>
        <w:rPr>
          <w:rFonts w:asciiTheme="minorEastAsia" w:hAnsiTheme="minorEastAsia"/>
          <w:b/>
          <w:sz w:val="24"/>
          <w:szCs w:val="21"/>
        </w:rPr>
        <w:t>》</w:t>
      </w:r>
      <w:r>
        <w:rPr>
          <w:rFonts w:asciiTheme="minorEastAsia" w:hAnsiTheme="minorEastAsia" w:hint="eastAsia"/>
          <w:b/>
          <w:sz w:val="24"/>
          <w:szCs w:val="21"/>
        </w:rPr>
        <w:t>签署页。</w:t>
      </w:r>
    </w:p>
    <w:p w:rsidR="002F4F6D" w:rsidRDefault="002F4F6D">
      <w:pPr>
        <w:spacing w:line="360" w:lineRule="auto"/>
        <w:ind w:right="26"/>
        <w:rPr>
          <w:rFonts w:asciiTheme="minorEastAsia" w:hAnsiTheme="minorEastAsia"/>
          <w:b/>
          <w:bCs/>
          <w:sz w:val="24"/>
          <w:szCs w:val="21"/>
        </w:rPr>
      </w:pPr>
      <w:bookmarkStart w:id="100" w:name="_Toc523830014"/>
      <w:bookmarkStart w:id="101" w:name="_Toc48703935"/>
      <w:bookmarkStart w:id="102" w:name="_Toc22454484"/>
    </w:p>
    <w:p w:rsidR="002F4F6D" w:rsidRDefault="007A5871">
      <w:pPr>
        <w:spacing w:line="360" w:lineRule="auto"/>
        <w:ind w:right="26"/>
        <w:rPr>
          <w:rFonts w:asciiTheme="minorEastAsia" w:hAnsiTheme="minorEastAsia"/>
          <w:b/>
          <w:bCs/>
          <w:sz w:val="24"/>
          <w:szCs w:val="21"/>
        </w:rPr>
      </w:pPr>
      <w:r>
        <w:rPr>
          <w:rFonts w:asciiTheme="minorEastAsia" w:hAnsiTheme="minorEastAsia" w:hint="eastAsia"/>
          <w:b/>
          <w:bCs/>
          <w:sz w:val="24"/>
          <w:szCs w:val="21"/>
        </w:rPr>
        <w:t>《托管协议》当事人盖章及法定代表人或授权代表签字、签订地、签订日</w:t>
      </w:r>
      <w:bookmarkEnd w:id="100"/>
      <w:bookmarkEnd w:id="101"/>
      <w:bookmarkEnd w:id="102"/>
    </w:p>
    <w:p w:rsidR="002F4F6D" w:rsidRDefault="002F4F6D">
      <w:pPr>
        <w:spacing w:line="360" w:lineRule="auto"/>
        <w:ind w:right="26"/>
        <w:rPr>
          <w:rFonts w:asciiTheme="minorEastAsia" w:hAnsiTheme="minorEastAsia"/>
          <w:b/>
          <w:sz w:val="24"/>
          <w:szCs w:val="24"/>
        </w:rPr>
      </w:pPr>
    </w:p>
    <w:p w:rsidR="002F4F6D" w:rsidRDefault="002F4F6D">
      <w:pPr>
        <w:spacing w:line="360" w:lineRule="auto"/>
        <w:ind w:right="26"/>
        <w:rPr>
          <w:rFonts w:asciiTheme="minorEastAsia" w:hAnsiTheme="minorEastAsia"/>
          <w:b/>
          <w:sz w:val="24"/>
          <w:szCs w:val="24"/>
        </w:rPr>
      </w:pPr>
    </w:p>
    <w:p w:rsidR="002F4F6D" w:rsidRDefault="007A5871">
      <w:pPr>
        <w:spacing w:line="360" w:lineRule="auto"/>
        <w:ind w:right="26"/>
        <w:rPr>
          <w:rFonts w:asciiTheme="minorEastAsia" w:hAnsiTheme="minorEastAsia"/>
          <w:b/>
          <w:sz w:val="24"/>
          <w:szCs w:val="21"/>
        </w:rPr>
      </w:pPr>
      <w:r>
        <w:rPr>
          <w:rFonts w:asciiTheme="minorEastAsia" w:hAnsiTheme="minorEastAsia" w:hint="eastAsia"/>
          <w:b/>
          <w:sz w:val="24"/>
          <w:szCs w:val="21"/>
        </w:rPr>
        <w:t>基金管理人：广发基金管理</w:t>
      </w:r>
      <w:r>
        <w:rPr>
          <w:rFonts w:asciiTheme="minorEastAsia" w:hAnsiTheme="minorEastAsia" w:hint="eastAsia"/>
          <w:b/>
          <w:bCs/>
          <w:sz w:val="24"/>
          <w:szCs w:val="21"/>
        </w:rPr>
        <w:t>有限公司</w:t>
      </w:r>
      <w:r>
        <w:rPr>
          <w:rFonts w:asciiTheme="minorEastAsia" w:hAnsiTheme="minorEastAsia" w:hint="eastAsia"/>
          <w:b/>
          <w:sz w:val="24"/>
          <w:szCs w:val="21"/>
        </w:rPr>
        <w:t>（章）</w:t>
      </w:r>
    </w:p>
    <w:p w:rsidR="002F4F6D" w:rsidRDefault="002F4F6D">
      <w:pPr>
        <w:spacing w:line="360" w:lineRule="auto"/>
        <w:ind w:right="26"/>
        <w:rPr>
          <w:rFonts w:asciiTheme="minorEastAsia" w:hAnsiTheme="minorEastAsia"/>
          <w:b/>
          <w:sz w:val="24"/>
          <w:szCs w:val="21"/>
        </w:rPr>
      </w:pPr>
    </w:p>
    <w:p w:rsidR="002F4F6D" w:rsidRDefault="002F4F6D">
      <w:pPr>
        <w:spacing w:line="360" w:lineRule="auto"/>
        <w:ind w:right="26"/>
        <w:rPr>
          <w:rFonts w:asciiTheme="minorEastAsia" w:hAnsiTheme="minorEastAsia"/>
          <w:b/>
          <w:sz w:val="24"/>
          <w:szCs w:val="21"/>
        </w:rPr>
      </w:pPr>
    </w:p>
    <w:p w:rsidR="002F4F6D" w:rsidRDefault="007A5871">
      <w:pPr>
        <w:spacing w:line="360" w:lineRule="auto"/>
        <w:ind w:right="26"/>
        <w:rPr>
          <w:rFonts w:asciiTheme="minorEastAsia" w:hAnsiTheme="minorEastAsia"/>
          <w:b/>
          <w:sz w:val="24"/>
          <w:szCs w:val="21"/>
        </w:rPr>
      </w:pPr>
      <w:r>
        <w:rPr>
          <w:rFonts w:asciiTheme="minorEastAsia" w:hAnsiTheme="minorEastAsia" w:hint="eastAsia"/>
          <w:b/>
          <w:sz w:val="24"/>
          <w:szCs w:val="21"/>
        </w:rPr>
        <w:t>法定代表人或授权代表：                   （签字）</w:t>
      </w:r>
    </w:p>
    <w:p w:rsidR="002F4F6D" w:rsidRDefault="002F4F6D">
      <w:pPr>
        <w:spacing w:line="360" w:lineRule="auto"/>
        <w:ind w:right="26"/>
        <w:rPr>
          <w:rFonts w:asciiTheme="minorEastAsia" w:hAnsiTheme="minorEastAsia"/>
          <w:b/>
          <w:sz w:val="24"/>
          <w:szCs w:val="21"/>
        </w:rPr>
      </w:pPr>
    </w:p>
    <w:p w:rsidR="002F4F6D" w:rsidRDefault="002F4F6D">
      <w:pPr>
        <w:spacing w:line="360" w:lineRule="auto"/>
        <w:ind w:right="26"/>
        <w:rPr>
          <w:rFonts w:asciiTheme="minorEastAsia" w:hAnsiTheme="minorEastAsia"/>
          <w:b/>
          <w:sz w:val="24"/>
          <w:szCs w:val="21"/>
        </w:rPr>
      </w:pPr>
    </w:p>
    <w:p w:rsidR="002F4F6D" w:rsidRDefault="002F4F6D">
      <w:pPr>
        <w:spacing w:line="360" w:lineRule="auto"/>
        <w:ind w:right="26"/>
        <w:rPr>
          <w:rFonts w:asciiTheme="minorEastAsia" w:hAnsiTheme="minorEastAsia"/>
          <w:b/>
          <w:sz w:val="24"/>
          <w:szCs w:val="21"/>
        </w:rPr>
      </w:pPr>
    </w:p>
    <w:p w:rsidR="002F4F6D" w:rsidRDefault="002F4F6D">
      <w:pPr>
        <w:spacing w:line="360" w:lineRule="auto"/>
        <w:ind w:right="26"/>
        <w:rPr>
          <w:rFonts w:asciiTheme="minorEastAsia" w:hAnsiTheme="minorEastAsia"/>
          <w:b/>
          <w:sz w:val="24"/>
          <w:szCs w:val="21"/>
        </w:rPr>
      </w:pPr>
    </w:p>
    <w:p w:rsidR="002F4F6D" w:rsidRDefault="002F4F6D">
      <w:pPr>
        <w:spacing w:line="360" w:lineRule="auto"/>
        <w:ind w:right="26"/>
        <w:rPr>
          <w:rFonts w:asciiTheme="minorEastAsia" w:hAnsiTheme="minorEastAsia"/>
          <w:b/>
          <w:sz w:val="24"/>
          <w:szCs w:val="21"/>
        </w:rPr>
      </w:pPr>
    </w:p>
    <w:p w:rsidR="002F4F6D" w:rsidRDefault="002F4F6D">
      <w:pPr>
        <w:spacing w:line="360" w:lineRule="auto"/>
        <w:ind w:right="26"/>
        <w:rPr>
          <w:rFonts w:asciiTheme="minorEastAsia" w:hAnsiTheme="minorEastAsia"/>
          <w:b/>
          <w:sz w:val="24"/>
          <w:szCs w:val="21"/>
        </w:rPr>
      </w:pPr>
    </w:p>
    <w:p w:rsidR="002F4F6D" w:rsidRDefault="007A5871">
      <w:pPr>
        <w:spacing w:line="360" w:lineRule="auto"/>
        <w:ind w:right="26"/>
        <w:rPr>
          <w:rFonts w:asciiTheme="minorEastAsia" w:hAnsiTheme="minorEastAsia"/>
          <w:b/>
          <w:sz w:val="24"/>
          <w:szCs w:val="21"/>
        </w:rPr>
      </w:pPr>
      <w:r>
        <w:rPr>
          <w:rFonts w:asciiTheme="minorEastAsia" w:hAnsiTheme="minorEastAsia" w:hint="eastAsia"/>
          <w:b/>
          <w:sz w:val="24"/>
          <w:szCs w:val="21"/>
        </w:rPr>
        <w:t>基金托管人：中国建设银行股份有限公司（章）</w:t>
      </w:r>
    </w:p>
    <w:p w:rsidR="002F4F6D" w:rsidRDefault="002F4F6D">
      <w:pPr>
        <w:spacing w:line="360" w:lineRule="auto"/>
        <w:ind w:right="26"/>
        <w:rPr>
          <w:rFonts w:asciiTheme="minorEastAsia" w:hAnsiTheme="minorEastAsia"/>
          <w:b/>
          <w:sz w:val="24"/>
          <w:szCs w:val="21"/>
        </w:rPr>
      </w:pPr>
    </w:p>
    <w:p w:rsidR="002F4F6D" w:rsidRDefault="002F4F6D">
      <w:pPr>
        <w:spacing w:line="360" w:lineRule="auto"/>
        <w:ind w:right="26"/>
        <w:rPr>
          <w:rFonts w:asciiTheme="minorEastAsia" w:hAnsiTheme="minorEastAsia"/>
          <w:b/>
          <w:sz w:val="24"/>
          <w:szCs w:val="21"/>
        </w:rPr>
      </w:pPr>
    </w:p>
    <w:p w:rsidR="002F4F6D" w:rsidRDefault="007A5871">
      <w:pPr>
        <w:spacing w:line="360" w:lineRule="auto"/>
        <w:ind w:right="26"/>
        <w:rPr>
          <w:rFonts w:asciiTheme="minorEastAsia" w:hAnsiTheme="minorEastAsia"/>
          <w:b/>
          <w:sz w:val="24"/>
          <w:szCs w:val="21"/>
        </w:rPr>
      </w:pPr>
      <w:r>
        <w:rPr>
          <w:rFonts w:asciiTheme="minorEastAsia" w:hAnsiTheme="minorEastAsia" w:hint="eastAsia"/>
          <w:b/>
          <w:sz w:val="24"/>
          <w:szCs w:val="21"/>
        </w:rPr>
        <w:t>法定代表人或授权代表：                   （签字）</w:t>
      </w:r>
    </w:p>
    <w:p w:rsidR="002F4F6D" w:rsidRDefault="002F4F6D">
      <w:pPr>
        <w:spacing w:line="360" w:lineRule="auto"/>
        <w:ind w:right="26"/>
        <w:rPr>
          <w:rFonts w:asciiTheme="minorEastAsia" w:hAnsiTheme="minorEastAsia"/>
          <w:b/>
          <w:sz w:val="24"/>
          <w:szCs w:val="21"/>
        </w:rPr>
      </w:pPr>
    </w:p>
    <w:p w:rsidR="002F4F6D" w:rsidRDefault="002F4F6D">
      <w:pPr>
        <w:spacing w:line="360" w:lineRule="auto"/>
        <w:ind w:right="26"/>
        <w:rPr>
          <w:rFonts w:asciiTheme="minorEastAsia" w:hAnsiTheme="minorEastAsia"/>
          <w:b/>
          <w:sz w:val="24"/>
          <w:szCs w:val="21"/>
        </w:rPr>
      </w:pPr>
    </w:p>
    <w:p w:rsidR="002F4F6D" w:rsidRDefault="002F4F6D">
      <w:pPr>
        <w:spacing w:line="360" w:lineRule="auto"/>
        <w:ind w:right="26"/>
        <w:rPr>
          <w:rFonts w:asciiTheme="minorEastAsia" w:hAnsiTheme="minorEastAsia"/>
          <w:b/>
          <w:sz w:val="24"/>
          <w:szCs w:val="21"/>
        </w:rPr>
      </w:pPr>
    </w:p>
    <w:p w:rsidR="002F4F6D" w:rsidRDefault="002F4F6D">
      <w:pPr>
        <w:spacing w:line="360" w:lineRule="auto"/>
        <w:ind w:right="26"/>
        <w:rPr>
          <w:rFonts w:asciiTheme="minorEastAsia" w:hAnsiTheme="minorEastAsia"/>
          <w:b/>
          <w:sz w:val="24"/>
          <w:szCs w:val="21"/>
        </w:rPr>
      </w:pPr>
    </w:p>
    <w:p w:rsidR="002F4F6D" w:rsidRDefault="002F4F6D">
      <w:pPr>
        <w:spacing w:line="360" w:lineRule="auto"/>
        <w:ind w:right="26"/>
        <w:rPr>
          <w:rFonts w:asciiTheme="minorEastAsia" w:hAnsiTheme="minorEastAsia"/>
          <w:b/>
          <w:sz w:val="24"/>
          <w:szCs w:val="21"/>
        </w:rPr>
      </w:pPr>
    </w:p>
    <w:p w:rsidR="002F4F6D" w:rsidRDefault="002F4F6D">
      <w:pPr>
        <w:spacing w:line="360" w:lineRule="auto"/>
        <w:ind w:right="26"/>
        <w:rPr>
          <w:rFonts w:asciiTheme="minorEastAsia" w:hAnsiTheme="minorEastAsia"/>
          <w:b/>
          <w:sz w:val="24"/>
          <w:szCs w:val="21"/>
        </w:rPr>
      </w:pPr>
    </w:p>
    <w:p w:rsidR="002F4F6D" w:rsidRDefault="002F4F6D">
      <w:pPr>
        <w:spacing w:line="360" w:lineRule="auto"/>
        <w:ind w:right="26"/>
        <w:rPr>
          <w:rFonts w:asciiTheme="minorEastAsia" w:hAnsiTheme="minorEastAsia"/>
          <w:b/>
          <w:sz w:val="24"/>
          <w:szCs w:val="21"/>
        </w:rPr>
      </w:pPr>
    </w:p>
    <w:p w:rsidR="002F4F6D" w:rsidRDefault="007A5871">
      <w:pPr>
        <w:spacing w:line="360" w:lineRule="auto"/>
        <w:ind w:right="26"/>
        <w:rPr>
          <w:rFonts w:asciiTheme="minorEastAsia" w:hAnsiTheme="minorEastAsia"/>
          <w:b/>
          <w:sz w:val="24"/>
          <w:szCs w:val="21"/>
        </w:rPr>
      </w:pPr>
      <w:r>
        <w:rPr>
          <w:rFonts w:asciiTheme="minorEastAsia" w:hAnsiTheme="minorEastAsia" w:hint="eastAsia"/>
          <w:b/>
          <w:sz w:val="24"/>
          <w:szCs w:val="21"/>
        </w:rPr>
        <w:t xml:space="preserve">签订地点： </w:t>
      </w:r>
    </w:p>
    <w:p w:rsidR="002F4F6D" w:rsidRDefault="007A5871">
      <w:pPr>
        <w:spacing w:line="360" w:lineRule="auto"/>
        <w:ind w:right="26"/>
        <w:rPr>
          <w:rFonts w:asciiTheme="minorEastAsia" w:hAnsiTheme="minorEastAsia" w:cs="Arial"/>
        </w:rPr>
      </w:pPr>
      <w:r>
        <w:rPr>
          <w:rFonts w:asciiTheme="minorEastAsia" w:hAnsiTheme="minorEastAsia" w:hint="eastAsia"/>
          <w:b/>
          <w:sz w:val="24"/>
          <w:szCs w:val="21"/>
        </w:rPr>
        <w:t>签 订 日：      年  月  日</w:t>
      </w:r>
    </w:p>
    <w:sectPr w:rsidR="002F4F6D">
      <w:headerReference w:type="default" r:id="rId12"/>
      <w:footerReference w:type="default" r:id="rId13"/>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6B6" w:rsidRDefault="006816B6">
      <w:r>
        <w:separator/>
      </w:r>
    </w:p>
  </w:endnote>
  <w:endnote w:type="continuationSeparator" w:id="0">
    <w:p w:rsidR="006816B6" w:rsidRDefault="00681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0000000" w:usb2="00000010" w:usb3="00000000" w:csb0="00040000" w:csb1="00000000"/>
  </w:font>
  <w:font w:name="彩虹粗仿宋">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386" w:rsidRDefault="00CC4386">
    <w:pPr>
      <w:pStyle w:val="a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CC4386" w:rsidRDefault="00CC4386">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129004"/>
    </w:sdtPr>
    <w:sdtEndPr/>
    <w:sdtContent>
      <w:p w:rsidR="00CC4386" w:rsidRDefault="00CC4386">
        <w:pPr>
          <w:pStyle w:val="ac"/>
          <w:jc w:val="center"/>
        </w:pPr>
        <w:r>
          <w:fldChar w:fldCharType="begin"/>
        </w:r>
        <w:r>
          <w:instrText>PAGE   \* MERGEFORMAT</w:instrText>
        </w:r>
        <w:r>
          <w:fldChar w:fldCharType="separate"/>
        </w:r>
        <w:r w:rsidR="002454B4" w:rsidRPr="002454B4">
          <w:rPr>
            <w:noProof/>
            <w:lang w:val="zh-CN"/>
          </w:rPr>
          <w:t>18</w:t>
        </w:r>
        <w:r>
          <w:rPr>
            <w:lang w:val="zh-C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386" w:rsidRDefault="00CC438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6B6" w:rsidRDefault="006816B6">
      <w:r>
        <w:separator/>
      </w:r>
    </w:p>
  </w:footnote>
  <w:footnote w:type="continuationSeparator" w:id="0">
    <w:p w:rsidR="006816B6" w:rsidRDefault="00681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386" w:rsidRDefault="00CC4386">
    <w:pPr>
      <w:pStyle w:val="ae"/>
      <w:jc w:val="right"/>
    </w:pPr>
    <w:r>
      <w:t>托管协议</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386" w:rsidRDefault="00CC4386">
    <w:pPr>
      <w:pStyle w:val="ae"/>
      <w:jc w:val="right"/>
    </w:pPr>
    <w:r>
      <w:t>托管协议</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386" w:rsidRDefault="00CC4386">
    <w:pPr>
      <w:pStyle w:val="ae"/>
      <w:jc w:val="right"/>
    </w:pPr>
    <w:r>
      <w:rPr>
        <w:rFonts w:hint="eastAsia"/>
      </w:rPr>
      <w:t>托管协议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76D"/>
    <w:rsid w:val="000024B1"/>
    <w:rsid w:val="000057E0"/>
    <w:rsid w:val="00013637"/>
    <w:rsid w:val="00016AC2"/>
    <w:rsid w:val="00021079"/>
    <w:rsid w:val="00021847"/>
    <w:rsid w:val="00024A67"/>
    <w:rsid w:val="00033661"/>
    <w:rsid w:val="00043153"/>
    <w:rsid w:val="00045448"/>
    <w:rsid w:val="00046EED"/>
    <w:rsid w:val="0005434F"/>
    <w:rsid w:val="00054FAA"/>
    <w:rsid w:val="00055836"/>
    <w:rsid w:val="00056CBC"/>
    <w:rsid w:val="00065642"/>
    <w:rsid w:val="00070EE7"/>
    <w:rsid w:val="00071AAA"/>
    <w:rsid w:val="00071E1C"/>
    <w:rsid w:val="000728B2"/>
    <w:rsid w:val="00076ECC"/>
    <w:rsid w:val="00081BED"/>
    <w:rsid w:val="00083C13"/>
    <w:rsid w:val="00084232"/>
    <w:rsid w:val="000859AF"/>
    <w:rsid w:val="0009376C"/>
    <w:rsid w:val="00095694"/>
    <w:rsid w:val="00095E3D"/>
    <w:rsid w:val="00097892"/>
    <w:rsid w:val="000A6CC6"/>
    <w:rsid w:val="000A781F"/>
    <w:rsid w:val="000C14E4"/>
    <w:rsid w:val="000C1D44"/>
    <w:rsid w:val="000D09DB"/>
    <w:rsid w:val="000D6AB2"/>
    <w:rsid w:val="000D7D9F"/>
    <w:rsid w:val="000F2535"/>
    <w:rsid w:val="000F32C6"/>
    <w:rsid w:val="001006B0"/>
    <w:rsid w:val="00101709"/>
    <w:rsid w:val="00110274"/>
    <w:rsid w:val="0011278B"/>
    <w:rsid w:val="0012228A"/>
    <w:rsid w:val="001230AA"/>
    <w:rsid w:val="001255B2"/>
    <w:rsid w:val="00125B55"/>
    <w:rsid w:val="001358E0"/>
    <w:rsid w:val="001400B8"/>
    <w:rsid w:val="00141B48"/>
    <w:rsid w:val="001442FF"/>
    <w:rsid w:val="00144C04"/>
    <w:rsid w:val="0016012D"/>
    <w:rsid w:val="0016436B"/>
    <w:rsid w:val="001650C1"/>
    <w:rsid w:val="00170ABC"/>
    <w:rsid w:val="001720D1"/>
    <w:rsid w:val="0018004E"/>
    <w:rsid w:val="001841CB"/>
    <w:rsid w:val="001906B9"/>
    <w:rsid w:val="00193A05"/>
    <w:rsid w:val="00196F64"/>
    <w:rsid w:val="00197BC9"/>
    <w:rsid w:val="001B0D28"/>
    <w:rsid w:val="001B32BC"/>
    <w:rsid w:val="001B3D51"/>
    <w:rsid w:val="001C4FE4"/>
    <w:rsid w:val="001C6053"/>
    <w:rsid w:val="001D21D4"/>
    <w:rsid w:val="001D4E64"/>
    <w:rsid w:val="001E23EE"/>
    <w:rsid w:val="001E48EC"/>
    <w:rsid w:val="001E53AF"/>
    <w:rsid w:val="001F076F"/>
    <w:rsid w:val="001F0DD2"/>
    <w:rsid w:val="001F6F74"/>
    <w:rsid w:val="00201D5F"/>
    <w:rsid w:val="0020388B"/>
    <w:rsid w:val="00204E3D"/>
    <w:rsid w:val="00205DCC"/>
    <w:rsid w:val="00210635"/>
    <w:rsid w:val="0021396A"/>
    <w:rsid w:val="0021747D"/>
    <w:rsid w:val="002216D9"/>
    <w:rsid w:val="00223BF6"/>
    <w:rsid w:val="00225994"/>
    <w:rsid w:val="00226DAC"/>
    <w:rsid w:val="0023645E"/>
    <w:rsid w:val="002405C1"/>
    <w:rsid w:val="00240C65"/>
    <w:rsid w:val="00242182"/>
    <w:rsid w:val="002454B4"/>
    <w:rsid w:val="0024705C"/>
    <w:rsid w:val="0026287B"/>
    <w:rsid w:val="002648C5"/>
    <w:rsid w:val="00265E78"/>
    <w:rsid w:val="00267704"/>
    <w:rsid w:val="00267EED"/>
    <w:rsid w:val="00270C9B"/>
    <w:rsid w:val="00274E85"/>
    <w:rsid w:val="00283C57"/>
    <w:rsid w:val="00294221"/>
    <w:rsid w:val="00294FCD"/>
    <w:rsid w:val="002A23C2"/>
    <w:rsid w:val="002A4DC5"/>
    <w:rsid w:val="002A6991"/>
    <w:rsid w:val="002B2D03"/>
    <w:rsid w:val="002B61DE"/>
    <w:rsid w:val="002B754F"/>
    <w:rsid w:val="002C0BBD"/>
    <w:rsid w:val="002C4CE1"/>
    <w:rsid w:val="002C6026"/>
    <w:rsid w:val="002C66B8"/>
    <w:rsid w:val="002D674D"/>
    <w:rsid w:val="002D7944"/>
    <w:rsid w:val="002E0B45"/>
    <w:rsid w:val="002E2293"/>
    <w:rsid w:val="002E431D"/>
    <w:rsid w:val="002E47F0"/>
    <w:rsid w:val="002F0E90"/>
    <w:rsid w:val="002F4F6D"/>
    <w:rsid w:val="003041E7"/>
    <w:rsid w:val="00310519"/>
    <w:rsid w:val="003211B8"/>
    <w:rsid w:val="00325EAC"/>
    <w:rsid w:val="0033074C"/>
    <w:rsid w:val="0033360B"/>
    <w:rsid w:val="00342F20"/>
    <w:rsid w:val="003452CA"/>
    <w:rsid w:val="00357C43"/>
    <w:rsid w:val="00362CF2"/>
    <w:rsid w:val="00363AE1"/>
    <w:rsid w:val="00367AC9"/>
    <w:rsid w:val="00371057"/>
    <w:rsid w:val="0039470D"/>
    <w:rsid w:val="003970D9"/>
    <w:rsid w:val="00397615"/>
    <w:rsid w:val="003A3E74"/>
    <w:rsid w:val="003B15DE"/>
    <w:rsid w:val="003B5B8B"/>
    <w:rsid w:val="003B5CF7"/>
    <w:rsid w:val="003C0FD0"/>
    <w:rsid w:val="003C18D6"/>
    <w:rsid w:val="003C47DA"/>
    <w:rsid w:val="003D51A6"/>
    <w:rsid w:val="003E177D"/>
    <w:rsid w:val="003E5253"/>
    <w:rsid w:val="003F3FEE"/>
    <w:rsid w:val="003F5F44"/>
    <w:rsid w:val="00404C18"/>
    <w:rsid w:val="004059F0"/>
    <w:rsid w:val="0040772D"/>
    <w:rsid w:val="00423154"/>
    <w:rsid w:val="004349B0"/>
    <w:rsid w:val="004412D8"/>
    <w:rsid w:val="004461CB"/>
    <w:rsid w:val="00454023"/>
    <w:rsid w:val="0045596A"/>
    <w:rsid w:val="00471B78"/>
    <w:rsid w:val="0047214A"/>
    <w:rsid w:val="00490400"/>
    <w:rsid w:val="00490FC7"/>
    <w:rsid w:val="004A3C46"/>
    <w:rsid w:val="004A5BDF"/>
    <w:rsid w:val="004B1F68"/>
    <w:rsid w:val="004B22CE"/>
    <w:rsid w:val="004B7602"/>
    <w:rsid w:val="004C1AD9"/>
    <w:rsid w:val="004D0452"/>
    <w:rsid w:val="004E2A17"/>
    <w:rsid w:val="004E45BB"/>
    <w:rsid w:val="004F263B"/>
    <w:rsid w:val="004F30CC"/>
    <w:rsid w:val="004F47DB"/>
    <w:rsid w:val="004F7E3F"/>
    <w:rsid w:val="0050059D"/>
    <w:rsid w:val="0051080C"/>
    <w:rsid w:val="00513A39"/>
    <w:rsid w:val="00514E30"/>
    <w:rsid w:val="00516641"/>
    <w:rsid w:val="00520656"/>
    <w:rsid w:val="005216E7"/>
    <w:rsid w:val="005220BF"/>
    <w:rsid w:val="005479B4"/>
    <w:rsid w:val="00550781"/>
    <w:rsid w:val="00551339"/>
    <w:rsid w:val="00554566"/>
    <w:rsid w:val="005563DA"/>
    <w:rsid w:val="00560949"/>
    <w:rsid w:val="00563ABE"/>
    <w:rsid w:val="00563E83"/>
    <w:rsid w:val="00565203"/>
    <w:rsid w:val="00565215"/>
    <w:rsid w:val="00570E95"/>
    <w:rsid w:val="00570F4F"/>
    <w:rsid w:val="00573882"/>
    <w:rsid w:val="0057764B"/>
    <w:rsid w:val="00584F2B"/>
    <w:rsid w:val="00590924"/>
    <w:rsid w:val="005A3E4A"/>
    <w:rsid w:val="005B140B"/>
    <w:rsid w:val="005B5D74"/>
    <w:rsid w:val="005B7729"/>
    <w:rsid w:val="005B7F6E"/>
    <w:rsid w:val="005C3BA3"/>
    <w:rsid w:val="005D1A60"/>
    <w:rsid w:val="005F00A7"/>
    <w:rsid w:val="005F1611"/>
    <w:rsid w:val="005F35E8"/>
    <w:rsid w:val="005F5B51"/>
    <w:rsid w:val="005F6E5D"/>
    <w:rsid w:val="0060373F"/>
    <w:rsid w:val="0060589A"/>
    <w:rsid w:val="00605999"/>
    <w:rsid w:val="00614296"/>
    <w:rsid w:val="00616E63"/>
    <w:rsid w:val="00621A6F"/>
    <w:rsid w:val="00622D39"/>
    <w:rsid w:val="00622F0E"/>
    <w:rsid w:val="006373C7"/>
    <w:rsid w:val="0064104E"/>
    <w:rsid w:val="006412EB"/>
    <w:rsid w:val="00641359"/>
    <w:rsid w:val="00643FFA"/>
    <w:rsid w:val="0064506C"/>
    <w:rsid w:val="00653D57"/>
    <w:rsid w:val="006552F8"/>
    <w:rsid w:val="00660A89"/>
    <w:rsid w:val="006619FC"/>
    <w:rsid w:val="00665712"/>
    <w:rsid w:val="006664DF"/>
    <w:rsid w:val="006816B6"/>
    <w:rsid w:val="00686661"/>
    <w:rsid w:val="00686EB3"/>
    <w:rsid w:val="00691747"/>
    <w:rsid w:val="006A0FFB"/>
    <w:rsid w:val="006A38F5"/>
    <w:rsid w:val="006B5DFB"/>
    <w:rsid w:val="006B76EF"/>
    <w:rsid w:val="006C1F58"/>
    <w:rsid w:val="006C4D7F"/>
    <w:rsid w:val="006D3B66"/>
    <w:rsid w:val="006D64C2"/>
    <w:rsid w:val="006D7B7B"/>
    <w:rsid w:val="006E0259"/>
    <w:rsid w:val="006F050A"/>
    <w:rsid w:val="006F1DBC"/>
    <w:rsid w:val="00702932"/>
    <w:rsid w:val="00705CF2"/>
    <w:rsid w:val="00707BA0"/>
    <w:rsid w:val="00710F9A"/>
    <w:rsid w:val="007117CB"/>
    <w:rsid w:val="007124F6"/>
    <w:rsid w:val="00712E80"/>
    <w:rsid w:val="00714CB3"/>
    <w:rsid w:val="00726946"/>
    <w:rsid w:val="007314F2"/>
    <w:rsid w:val="00731517"/>
    <w:rsid w:val="00741162"/>
    <w:rsid w:val="00750F38"/>
    <w:rsid w:val="00753A58"/>
    <w:rsid w:val="00771F12"/>
    <w:rsid w:val="00772BF3"/>
    <w:rsid w:val="007733CD"/>
    <w:rsid w:val="00777CD8"/>
    <w:rsid w:val="00781134"/>
    <w:rsid w:val="00784E32"/>
    <w:rsid w:val="00786CEA"/>
    <w:rsid w:val="00786EB4"/>
    <w:rsid w:val="007949E1"/>
    <w:rsid w:val="00796C88"/>
    <w:rsid w:val="00797CEB"/>
    <w:rsid w:val="007A2FA4"/>
    <w:rsid w:val="007A5871"/>
    <w:rsid w:val="007B237B"/>
    <w:rsid w:val="007B6947"/>
    <w:rsid w:val="007B76E9"/>
    <w:rsid w:val="007F2843"/>
    <w:rsid w:val="007F5B95"/>
    <w:rsid w:val="0080314E"/>
    <w:rsid w:val="00805F29"/>
    <w:rsid w:val="00807834"/>
    <w:rsid w:val="00821F45"/>
    <w:rsid w:val="00825BFF"/>
    <w:rsid w:val="0083037B"/>
    <w:rsid w:val="00831C6A"/>
    <w:rsid w:val="00833614"/>
    <w:rsid w:val="00835CEC"/>
    <w:rsid w:val="00841D82"/>
    <w:rsid w:val="008423D8"/>
    <w:rsid w:val="00845D12"/>
    <w:rsid w:val="0086281D"/>
    <w:rsid w:val="00866198"/>
    <w:rsid w:val="008911E1"/>
    <w:rsid w:val="00894074"/>
    <w:rsid w:val="00895C93"/>
    <w:rsid w:val="008972DC"/>
    <w:rsid w:val="008A24FC"/>
    <w:rsid w:val="008A4709"/>
    <w:rsid w:val="008A55AE"/>
    <w:rsid w:val="008B318F"/>
    <w:rsid w:val="008B40BE"/>
    <w:rsid w:val="008C1458"/>
    <w:rsid w:val="008C1883"/>
    <w:rsid w:val="008C1DCF"/>
    <w:rsid w:val="008C1E40"/>
    <w:rsid w:val="008C2B9E"/>
    <w:rsid w:val="008C2CAD"/>
    <w:rsid w:val="008D383D"/>
    <w:rsid w:val="008E398F"/>
    <w:rsid w:val="008F1AA1"/>
    <w:rsid w:val="00903F74"/>
    <w:rsid w:val="00905F13"/>
    <w:rsid w:val="00914DEB"/>
    <w:rsid w:val="00917589"/>
    <w:rsid w:val="009349F8"/>
    <w:rsid w:val="0093652A"/>
    <w:rsid w:val="00937F93"/>
    <w:rsid w:val="009537E0"/>
    <w:rsid w:val="009578EF"/>
    <w:rsid w:val="009616D5"/>
    <w:rsid w:val="00967A7F"/>
    <w:rsid w:val="009730BC"/>
    <w:rsid w:val="009759B0"/>
    <w:rsid w:val="00977224"/>
    <w:rsid w:val="00982688"/>
    <w:rsid w:val="00986DCF"/>
    <w:rsid w:val="00995228"/>
    <w:rsid w:val="009965E0"/>
    <w:rsid w:val="00996637"/>
    <w:rsid w:val="009A2A5A"/>
    <w:rsid w:val="009A2B40"/>
    <w:rsid w:val="009A4051"/>
    <w:rsid w:val="009A494A"/>
    <w:rsid w:val="009A52FF"/>
    <w:rsid w:val="009B4CD7"/>
    <w:rsid w:val="009B4E2F"/>
    <w:rsid w:val="009C537E"/>
    <w:rsid w:val="009C5E31"/>
    <w:rsid w:val="009D46DC"/>
    <w:rsid w:val="009D55EC"/>
    <w:rsid w:val="009D5F6A"/>
    <w:rsid w:val="009E1362"/>
    <w:rsid w:val="009E1649"/>
    <w:rsid w:val="009E372F"/>
    <w:rsid w:val="009E47CF"/>
    <w:rsid w:val="009F496E"/>
    <w:rsid w:val="009F7D40"/>
    <w:rsid w:val="00A00D57"/>
    <w:rsid w:val="00A01303"/>
    <w:rsid w:val="00A03EBF"/>
    <w:rsid w:val="00A07413"/>
    <w:rsid w:val="00A1084D"/>
    <w:rsid w:val="00A10AB5"/>
    <w:rsid w:val="00A11821"/>
    <w:rsid w:val="00A124AC"/>
    <w:rsid w:val="00A1374C"/>
    <w:rsid w:val="00A16299"/>
    <w:rsid w:val="00A17344"/>
    <w:rsid w:val="00A17561"/>
    <w:rsid w:val="00A20330"/>
    <w:rsid w:val="00A2096F"/>
    <w:rsid w:val="00A20B74"/>
    <w:rsid w:val="00A267D7"/>
    <w:rsid w:val="00A30AF6"/>
    <w:rsid w:val="00A30E3B"/>
    <w:rsid w:val="00A37A16"/>
    <w:rsid w:val="00A41514"/>
    <w:rsid w:val="00A42C79"/>
    <w:rsid w:val="00A442F3"/>
    <w:rsid w:val="00A52409"/>
    <w:rsid w:val="00A53FF1"/>
    <w:rsid w:val="00A54A1D"/>
    <w:rsid w:val="00A62FCC"/>
    <w:rsid w:val="00A64263"/>
    <w:rsid w:val="00A653FE"/>
    <w:rsid w:val="00A65D90"/>
    <w:rsid w:val="00A67398"/>
    <w:rsid w:val="00A7398A"/>
    <w:rsid w:val="00A76CDE"/>
    <w:rsid w:val="00A84C29"/>
    <w:rsid w:val="00A8756A"/>
    <w:rsid w:val="00A95CEA"/>
    <w:rsid w:val="00AA260C"/>
    <w:rsid w:val="00AB0994"/>
    <w:rsid w:val="00AB44F2"/>
    <w:rsid w:val="00AB4B91"/>
    <w:rsid w:val="00AB5F91"/>
    <w:rsid w:val="00AC1742"/>
    <w:rsid w:val="00AC209B"/>
    <w:rsid w:val="00AC2B76"/>
    <w:rsid w:val="00AD2471"/>
    <w:rsid w:val="00AD437D"/>
    <w:rsid w:val="00AE0093"/>
    <w:rsid w:val="00AE0BAC"/>
    <w:rsid w:val="00AE6E4A"/>
    <w:rsid w:val="00AF13B8"/>
    <w:rsid w:val="00AF22F0"/>
    <w:rsid w:val="00AF5CE6"/>
    <w:rsid w:val="00B0796E"/>
    <w:rsid w:val="00B17DE3"/>
    <w:rsid w:val="00B21C4E"/>
    <w:rsid w:val="00B34C15"/>
    <w:rsid w:val="00B35541"/>
    <w:rsid w:val="00B36E65"/>
    <w:rsid w:val="00B432E6"/>
    <w:rsid w:val="00B44E8B"/>
    <w:rsid w:val="00B4545F"/>
    <w:rsid w:val="00B50FD4"/>
    <w:rsid w:val="00B51C73"/>
    <w:rsid w:val="00B61CA2"/>
    <w:rsid w:val="00B713D0"/>
    <w:rsid w:val="00B75A90"/>
    <w:rsid w:val="00B8340E"/>
    <w:rsid w:val="00B86730"/>
    <w:rsid w:val="00B876C0"/>
    <w:rsid w:val="00B87D92"/>
    <w:rsid w:val="00BA0993"/>
    <w:rsid w:val="00BA455E"/>
    <w:rsid w:val="00BA5326"/>
    <w:rsid w:val="00BB19AF"/>
    <w:rsid w:val="00BB6FEB"/>
    <w:rsid w:val="00BD0AFD"/>
    <w:rsid w:val="00BD202E"/>
    <w:rsid w:val="00BD3127"/>
    <w:rsid w:val="00BD3877"/>
    <w:rsid w:val="00BD72FE"/>
    <w:rsid w:val="00BE19DE"/>
    <w:rsid w:val="00BE4F52"/>
    <w:rsid w:val="00C014B3"/>
    <w:rsid w:val="00C02587"/>
    <w:rsid w:val="00C038F6"/>
    <w:rsid w:val="00C058BB"/>
    <w:rsid w:val="00C06A2B"/>
    <w:rsid w:val="00C11111"/>
    <w:rsid w:val="00C12718"/>
    <w:rsid w:val="00C13218"/>
    <w:rsid w:val="00C2315D"/>
    <w:rsid w:val="00C36620"/>
    <w:rsid w:val="00C43962"/>
    <w:rsid w:val="00C44BD1"/>
    <w:rsid w:val="00C47F8F"/>
    <w:rsid w:val="00C50FBE"/>
    <w:rsid w:val="00C5564C"/>
    <w:rsid w:val="00C6023C"/>
    <w:rsid w:val="00C67FEF"/>
    <w:rsid w:val="00C72772"/>
    <w:rsid w:val="00C74E49"/>
    <w:rsid w:val="00C76BD0"/>
    <w:rsid w:val="00C93099"/>
    <w:rsid w:val="00C947C0"/>
    <w:rsid w:val="00C95658"/>
    <w:rsid w:val="00CA111B"/>
    <w:rsid w:val="00CA5E29"/>
    <w:rsid w:val="00CB0E2D"/>
    <w:rsid w:val="00CB31FE"/>
    <w:rsid w:val="00CC0AE0"/>
    <w:rsid w:val="00CC0F5D"/>
    <w:rsid w:val="00CC3DC4"/>
    <w:rsid w:val="00CC4386"/>
    <w:rsid w:val="00CD0A22"/>
    <w:rsid w:val="00CD0F60"/>
    <w:rsid w:val="00CD1BE0"/>
    <w:rsid w:val="00CE391B"/>
    <w:rsid w:val="00CE4471"/>
    <w:rsid w:val="00D043F2"/>
    <w:rsid w:val="00D10621"/>
    <w:rsid w:val="00D1196F"/>
    <w:rsid w:val="00D12A6A"/>
    <w:rsid w:val="00D1752F"/>
    <w:rsid w:val="00D21A8D"/>
    <w:rsid w:val="00D2423B"/>
    <w:rsid w:val="00D34D2E"/>
    <w:rsid w:val="00D34E3B"/>
    <w:rsid w:val="00D415BC"/>
    <w:rsid w:val="00D4214B"/>
    <w:rsid w:val="00D44E54"/>
    <w:rsid w:val="00D53933"/>
    <w:rsid w:val="00D54690"/>
    <w:rsid w:val="00D63E64"/>
    <w:rsid w:val="00D6474F"/>
    <w:rsid w:val="00D80500"/>
    <w:rsid w:val="00D9047C"/>
    <w:rsid w:val="00D96799"/>
    <w:rsid w:val="00D97CF0"/>
    <w:rsid w:val="00DA16BB"/>
    <w:rsid w:val="00DA437F"/>
    <w:rsid w:val="00DA6907"/>
    <w:rsid w:val="00DA7499"/>
    <w:rsid w:val="00DB4769"/>
    <w:rsid w:val="00DC06A8"/>
    <w:rsid w:val="00DC230F"/>
    <w:rsid w:val="00DC38A3"/>
    <w:rsid w:val="00DD12CC"/>
    <w:rsid w:val="00DD6C62"/>
    <w:rsid w:val="00DE0E30"/>
    <w:rsid w:val="00DE105F"/>
    <w:rsid w:val="00DE29DA"/>
    <w:rsid w:val="00DE32C6"/>
    <w:rsid w:val="00DE66BB"/>
    <w:rsid w:val="00DE784A"/>
    <w:rsid w:val="00DF24A6"/>
    <w:rsid w:val="00DF403A"/>
    <w:rsid w:val="00DF79E5"/>
    <w:rsid w:val="00E06CC4"/>
    <w:rsid w:val="00E13490"/>
    <w:rsid w:val="00E16137"/>
    <w:rsid w:val="00E17647"/>
    <w:rsid w:val="00E201A6"/>
    <w:rsid w:val="00E22688"/>
    <w:rsid w:val="00E23A20"/>
    <w:rsid w:val="00E244A9"/>
    <w:rsid w:val="00E2653A"/>
    <w:rsid w:val="00E30A47"/>
    <w:rsid w:val="00E3571C"/>
    <w:rsid w:val="00E35F7E"/>
    <w:rsid w:val="00E37ADD"/>
    <w:rsid w:val="00E423B0"/>
    <w:rsid w:val="00E4348E"/>
    <w:rsid w:val="00E604C4"/>
    <w:rsid w:val="00E629B6"/>
    <w:rsid w:val="00E63509"/>
    <w:rsid w:val="00E648E6"/>
    <w:rsid w:val="00E676C0"/>
    <w:rsid w:val="00E82BC4"/>
    <w:rsid w:val="00E83FD2"/>
    <w:rsid w:val="00E85772"/>
    <w:rsid w:val="00E86A90"/>
    <w:rsid w:val="00E92357"/>
    <w:rsid w:val="00E975DD"/>
    <w:rsid w:val="00EA35D0"/>
    <w:rsid w:val="00EB0986"/>
    <w:rsid w:val="00EB1F70"/>
    <w:rsid w:val="00EB2429"/>
    <w:rsid w:val="00EE076D"/>
    <w:rsid w:val="00EE33C7"/>
    <w:rsid w:val="00EE5601"/>
    <w:rsid w:val="00EE6CEA"/>
    <w:rsid w:val="00EF407A"/>
    <w:rsid w:val="00EF463F"/>
    <w:rsid w:val="00EF55A0"/>
    <w:rsid w:val="00F014BB"/>
    <w:rsid w:val="00F128E6"/>
    <w:rsid w:val="00F16F51"/>
    <w:rsid w:val="00F1705E"/>
    <w:rsid w:val="00F243CE"/>
    <w:rsid w:val="00F261A0"/>
    <w:rsid w:val="00F305C0"/>
    <w:rsid w:val="00F312AA"/>
    <w:rsid w:val="00F3284F"/>
    <w:rsid w:val="00F337A1"/>
    <w:rsid w:val="00F37516"/>
    <w:rsid w:val="00F400A3"/>
    <w:rsid w:val="00F4563A"/>
    <w:rsid w:val="00F53C1D"/>
    <w:rsid w:val="00F71107"/>
    <w:rsid w:val="00F82648"/>
    <w:rsid w:val="00F8471D"/>
    <w:rsid w:val="00F87CAE"/>
    <w:rsid w:val="00F9423C"/>
    <w:rsid w:val="00F97147"/>
    <w:rsid w:val="00FA6D7F"/>
    <w:rsid w:val="00FA704C"/>
    <w:rsid w:val="00FB3596"/>
    <w:rsid w:val="00FB3936"/>
    <w:rsid w:val="00FB41DB"/>
    <w:rsid w:val="00FB78C2"/>
    <w:rsid w:val="00FC1BFE"/>
    <w:rsid w:val="00FC26DC"/>
    <w:rsid w:val="00FD1EBA"/>
    <w:rsid w:val="00FE130A"/>
    <w:rsid w:val="00FE14FE"/>
    <w:rsid w:val="00FE4857"/>
    <w:rsid w:val="00FE49C0"/>
    <w:rsid w:val="00FE4B8F"/>
    <w:rsid w:val="00FE67F2"/>
    <w:rsid w:val="00FF272A"/>
    <w:rsid w:val="00FF285B"/>
    <w:rsid w:val="00FF6824"/>
    <w:rsid w:val="14487039"/>
    <w:rsid w:val="20AF219F"/>
    <w:rsid w:val="35BF5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20A50F"/>
  <w15:docId w15:val="{0ACB9D4A-A39D-48CA-B4B2-FCF0ACBC6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lsdException w:name="footnote text" w:semiHidden="1" w:unhideWhenUsed="1"/>
    <w:lsdException w:name="annotation text" w:uiPriority="0" w:qFormat="1"/>
    <w:lsdException w:name="head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uiPriority="0"/>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0"/>
    <w:link w:val="20"/>
    <w:qFormat/>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rPr>
      <w:rFonts w:ascii="Times New Roman" w:eastAsia="宋体" w:hAnsi="Times New Roman" w:cs="Times New Roman"/>
      <w:szCs w:val="24"/>
    </w:rPr>
  </w:style>
  <w:style w:type="paragraph" w:styleId="7">
    <w:name w:val="toc 7"/>
    <w:basedOn w:val="a"/>
    <w:next w:val="a"/>
    <w:semiHidden/>
    <w:qFormat/>
    <w:pPr>
      <w:ind w:leftChars="1200" w:left="2520"/>
    </w:pPr>
    <w:rPr>
      <w:rFonts w:ascii="Times New Roman" w:eastAsia="宋体" w:hAnsi="Times New Roman" w:cs="Times New Roman"/>
      <w:szCs w:val="24"/>
    </w:rPr>
  </w:style>
  <w:style w:type="paragraph" w:styleId="a4">
    <w:name w:val="annotation text"/>
    <w:basedOn w:val="a"/>
    <w:link w:val="a5"/>
    <w:qFormat/>
    <w:pPr>
      <w:jc w:val="left"/>
    </w:pPr>
    <w:rPr>
      <w:rFonts w:ascii="Times New Roman" w:eastAsia="宋体" w:hAnsi="Times New Roman" w:cs="Times New Roman"/>
      <w:szCs w:val="24"/>
      <w:lang w:val="zh-CN"/>
    </w:rPr>
  </w:style>
  <w:style w:type="paragraph" w:styleId="a6">
    <w:name w:val="Body Text"/>
    <w:basedOn w:val="a"/>
    <w:link w:val="a7"/>
    <w:pPr>
      <w:spacing w:line="360" w:lineRule="auto"/>
    </w:pPr>
    <w:rPr>
      <w:rFonts w:ascii="仿宋_GB2312" w:eastAsia="仿宋_GB2312" w:hAnsi="Times New Roman" w:cs="Times New Roman"/>
      <w:color w:val="000000"/>
      <w:kern w:val="0"/>
      <w:sz w:val="24"/>
      <w:szCs w:val="28"/>
    </w:rPr>
  </w:style>
  <w:style w:type="paragraph" w:styleId="a8">
    <w:name w:val="Body Text Indent"/>
    <w:basedOn w:val="a"/>
    <w:link w:val="a9"/>
    <w:pPr>
      <w:adjustRightInd w:val="0"/>
      <w:snapToGrid w:val="0"/>
      <w:spacing w:line="560" w:lineRule="exact"/>
      <w:ind w:firstLineChars="200" w:firstLine="480"/>
    </w:pPr>
    <w:rPr>
      <w:rFonts w:ascii="Times New Roman" w:eastAsia="方正仿宋简体" w:hAnsi="Times New Roman" w:cs="Times New Roman"/>
      <w:sz w:val="24"/>
      <w:szCs w:val="30"/>
    </w:rPr>
  </w:style>
  <w:style w:type="paragraph" w:styleId="5">
    <w:name w:val="toc 5"/>
    <w:basedOn w:val="a"/>
    <w:next w:val="a"/>
    <w:semiHidden/>
    <w:pPr>
      <w:ind w:leftChars="800" w:left="1680"/>
    </w:pPr>
    <w:rPr>
      <w:rFonts w:ascii="Times New Roman" w:eastAsia="宋体" w:hAnsi="Times New Roman" w:cs="Times New Roman"/>
      <w:szCs w:val="24"/>
    </w:rPr>
  </w:style>
  <w:style w:type="paragraph" w:styleId="3">
    <w:name w:val="toc 3"/>
    <w:basedOn w:val="a"/>
    <w:next w:val="a"/>
    <w:semiHidden/>
    <w:qFormat/>
    <w:pPr>
      <w:ind w:leftChars="400" w:left="840"/>
    </w:pPr>
    <w:rPr>
      <w:rFonts w:ascii="Times New Roman" w:eastAsia="宋体" w:hAnsi="Times New Roman" w:cs="Times New Roman"/>
      <w:szCs w:val="24"/>
    </w:rPr>
  </w:style>
  <w:style w:type="paragraph" w:styleId="8">
    <w:name w:val="toc 8"/>
    <w:basedOn w:val="a"/>
    <w:next w:val="a"/>
    <w:semiHidden/>
    <w:qFormat/>
    <w:pPr>
      <w:ind w:leftChars="1400" w:left="2940"/>
    </w:pPr>
    <w:rPr>
      <w:rFonts w:ascii="Times New Roman" w:eastAsia="宋体" w:hAnsi="Times New Roman" w:cs="Times New Roman"/>
      <w:szCs w:val="24"/>
    </w:rPr>
  </w:style>
  <w:style w:type="paragraph" w:styleId="21">
    <w:name w:val="Body Text Indent 2"/>
    <w:basedOn w:val="a"/>
    <w:link w:val="22"/>
    <w:pPr>
      <w:spacing w:line="360" w:lineRule="auto"/>
      <w:ind w:firstLine="525"/>
    </w:pPr>
    <w:rPr>
      <w:rFonts w:ascii="宋体" w:eastAsia="宋体" w:hAnsi="宋体" w:cs="Times New Roman"/>
      <w:sz w:val="28"/>
      <w:szCs w:val="20"/>
    </w:rPr>
  </w:style>
  <w:style w:type="paragraph" w:styleId="aa">
    <w:name w:val="Balloon Text"/>
    <w:basedOn w:val="a"/>
    <w:link w:val="ab"/>
    <w:semiHidden/>
    <w:qFormat/>
    <w:rPr>
      <w:rFonts w:ascii="Times New Roman" w:eastAsia="宋体" w:hAnsi="Times New Roman" w:cs="Times New Roman"/>
      <w:sz w:val="18"/>
      <w:szCs w:val="18"/>
    </w:rPr>
  </w:style>
  <w:style w:type="paragraph" w:styleId="ac">
    <w:name w:val="footer"/>
    <w:basedOn w:val="a"/>
    <w:link w:val="ad"/>
    <w:uiPriority w:val="99"/>
    <w:pPr>
      <w:tabs>
        <w:tab w:val="center" w:pos="4153"/>
        <w:tab w:val="right" w:pos="8306"/>
      </w:tabs>
      <w:snapToGrid w:val="0"/>
      <w:jc w:val="left"/>
    </w:pPr>
    <w:rPr>
      <w:rFonts w:ascii="Times New Roman" w:eastAsia="宋体" w:hAnsi="Times New Roman" w:cs="Times New Roman"/>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
    <w:name w:val="toc 1"/>
    <w:basedOn w:val="a"/>
    <w:next w:val="a"/>
    <w:semiHidden/>
    <w:qFormat/>
    <w:rPr>
      <w:rFonts w:ascii="Times New Roman" w:eastAsia="宋体" w:hAnsi="Times New Roman" w:cs="Times New Roman"/>
      <w:szCs w:val="24"/>
    </w:rPr>
  </w:style>
  <w:style w:type="paragraph" w:styleId="4">
    <w:name w:val="toc 4"/>
    <w:basedOn w:val="a"/>
    <w:next w:val="a"/>
    <w:semiHidden/>
    <w:qFormat/>
    <w:pPr>
      <w:ind w:leftChars="600" w:left="1260"/>
    </w:pPr>
    <w:rPr>
      <w:rFonts w:ascii="Times New Roman" w:eastAsia="宋体" w:hAnsi="Times New Roman" w:cs="Times New Roman"/>
      <w:szCs w:val="24"/>
    </w:rPr>
  </w:style>
  <w:style w:type="paragraph" w:styleId="6">
    <w:name w:val="toc 6"/>
    <w:basedOn w:val="a"/>
    <w:next w:val="a"/>
    <w:semiHidden/>
    <w:qFormat/>
    <w:pPr>
      <w:ind w:leftChars="1000" w:left="2100"/>
    </w:pPr>
    <w:rPr>
      <w:rFonts w:ascii="Times New Roman" w:eastAsia="宋体" w:hAnsi="Times New Roman" w:cs="Times New Roman"/>
      <w:szCs w:val="24"/>
    </w:rPr>
  </w:style>
  <w:style w:type="paragraph" w:styleId="30">
    <w:name w:val="Body Text Indent 3"/>
    <w:basedOn w:val="a"/>
    <w:link w:val="31"/>
    <w:pPr>
      <w:adjustRightInd w:val="0"/>
      <w:snapToGrid w:val="0"/>
      <w:ind w:firstLineChars="200" w:firstLine="480"/>
    </w:pPr>
    <w:rPr>
      <w:rFonts w:ascii="仿宋_GB2312" w:eastAsia="仿宋_GB2312" w:hAnsi="宋体" w:cs="Arial"/>
      <w:color w:val="000000"/>
      <w:sz w:val="24"/>
      <w:szCs w:val="24"/>
    </w:rPr>
  </w:style>
  <w:style w:type="paragraph" w:styleId="23">
    <w:name w:val="toc 2"/>
    <w:basedOn w:val="a"/>
    <w:next w:val="a"/>
    <w:semiHidden/>
    <w:qFormat/>
    <w:pPr>
      <w:tabs>
        <w:tab w:val="right" w:leader="dot" w:pos="8494"/>
      </w:tabs>
      <w:spacing w:line="360" w:lineRule="auto"/>
    </w:pPr>
    <w:rPr>
      <w:rFonts w:ascii="Times New Roman" w:eastAsia="宋体" w:hAnsi="Times New Roman" w:cs="Times New Roman"/>
      <w:szCs w:val="24"/>
    </w:rPr>
  </w:style>
  <w:style w:type="paragraph" w:styleId="9">
    <w:name w:val="toc 9"/>
    <w:basedOn w:val="a"/>
    <w:next w:val="a"/>
    <w:semiHidden/>
    <w:qFormat/>
    <w:pPr>
      <w:ind w:leftChars="1600" w:left="3360"/>
    </w:pPr>
    <w:rPr>
      <w:rFonts w:ascii="Times New Roman" w:eastAsia="宋体" w:hAnsi="Times New Roman" w:cs="Times New Roman"/>
      <w:szCs w:val="24"/>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val="zh-CN"/>
    </w:rPr>
  </w:style>
  <w:style w:type="paragraph" w:styleId="af0">
    <w:name w:val="Normal (Web)"/>
    <w:basedOn w:val="a"/>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f1">
    <w:name w:val="annotation subject"/>
    <w:basedOn w:val="a4"/>
    <w:next w:val="a4"/>
    <w:link w:val="af2"/>
    <w:qFormat/>
    <w:rPr>
      <w:b/>
      <w:bCs/>
    </w:rPr>
  </w:style>
  <w:style w:type="character" w:styleId="af3">
    <w:name w:val="Strong"/>
    <w:qFormat/>
    <w:rPr>
      <w:b/>
      <w:bCs/>
    </w:rPr>
  </w:style>
  <w:style w:type="character" w:styleId="af4">
    <w:name w:val="page number"/>
    <w:basedOn w:val="a1"/>
  </w:style>
  <w:style w:type="character" w:styleId="af5">
    <w:name w:val="FollowedHyperlink"/>
    <w:basedOn w:val="a1"/>
    <w:uiPriority w:val="99"/>
    <w:semiHidden/>
    <w:unhideWhenUsed/>
    <w:qFormat/>
    <w:rPr>
      <w:color w:val="800080" w:themeColor="followedHyperlink"/>
      <w:u w:val="single"/>
    </w:rPr>
  </w:style>
  <w:style w:type="character" w:styleId="af6">
    <w:name w:val="Hyperlink"/>
    <w:rPr>
      <w:color w:val="0000FF"/>
      <w:u w:val="single"/>
    </w:rPr>
  </w:style>
  <w:style w:type="character" w:styleId="af7">
    <w:name w:val="annotation reference"/>
    <w:qFormat/>
    <w:rPr>
      <w:sz w:val="21"/>
      <w:szCs w:val="21"/>
    </w:rPr>
  </w:style>
  <w:style w:type="character" w:customStyle="1" w:styleId="20">
    <w:name w:val="标题 2 字符"/>
    <w:basedOn w:val="a1"/>
    <w:link w:val="2"/>
    <w:rPr>
      <w:rFonts w:ascii="Arial" w:eastAsia="黑体" w:hAnsi="Arial" w:cs="Times New Roman"/>
      <w:b/>
      <w:sz w:val="32"/>
      <w:szCs w:val="20"/>
    </w:rPr>
  </w:style>
  <w:style w:type="character" w:customStyle="1" w:styleId="ad">
    <w:name w:val="页脚 字符"/>
    <w:basedOn w:val="a1"/>
    <w:link w:val="ac"/>
    <w:uiPriority w:val="99"/>
    <w:rPr>
      <w:rFonts w:ascii="Times New Roman" w:eastAsia="宋体" w:hAnsi="Times New Roman" w:cs="Times New Roman"/>
      <w:sz w:val="18"/>
      <w:szCs w:val="18"/>
    </w:rPr>
  </w:style>
  <w:style w:type="paragraph" w:customStyle="1" w:styleId="wz1">
    <w:name w:val="wz1"/>
    <w:basedOn w:val="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character" w:customStyle="1" w:styleId="a7">
    <w:name w:val="正文文本 字符"/>
    <w:basedOn w:val="a1"/>
    <w:link w:val="a6"/>
    <w:rPr>
      <w:rFonts w:ascii="仿宋_GB2312" w:eastAsia="仿宋_GB2312" w:hAnsi="Times New Roman" w:cs="Times New Roman"/>
      <w:color w:val="000000"/>
      <w:kern w:val="0"/>
      <w:sz w:val="24"/>
      <w:szCs w:val="28"/>
    </w:rPr>
  </w:style>
  <w:style w:type="character" w:customStyle="1" w:styleId="read">
    <w:name w:val="read"/>
    <w:basedOn w:val="a1"/>
  </w:style>
  <w:style w:type="character" w:customStyle="1" w:styleId="a9">
    <w:name w:val="正文文本缩进 字符"/>
    <w:basedOn w:val="a1"/>
    <w:link w:val="a8"/>
    <w:rPr>
      <w:rFonts w:ascii="Times New Roman" w:eastAsia="方正仿宋简体" w:hAnsi="Times New Roman" w:cs="Times New Roman"/>
      <w:sz w:val="24"/>
      <w:szCs w:val="30"/>
    </w:rPr>
  </w:style>
  <w:style w:type="character" w:customStyle="1" w:styleId="22">
    <w:name w:val="正文文本缩进 2 字符"/>
    <w:basedOn w:val="a1"/>
    <w:link w:val="21"/>
    <w:rPr>
      <w:rFonts w:ascii="宋体" w:eastAsia="宋体" w:hAnsi="宋体" w:cs="Times New Roman"/>
      <w:sz w:val="28"/>
      <w:szCs w:val="20"/>
    </w:rPr>
  </w:style>
  <w:style w:type="character" w:customStyle="1" w:styleId="31">
    <w:name w:val="正文文本缩进 3 字符"/>
    <w:basedOn w:val="a1"/>
    <w:link w:val="30"/>
    <w:qFormat/>
    <w:rPr>
      <w:rFonts w:ascii="仿宋_GB2312" w:eastAsia="仿宋_GB2312" w:hAnsi="宋体" w:cs="Arial"/>
      <w:color w:val="000000"/>
      <w:sz w:val="24"/>
      <w:szCs w:val="24"/>
    </w:rPr>
  </w:style>
  <w:style w:type="paragraph" w:customStyle="1" w:styleId="Style31">
    <w:name w:val="_Style 31"/>
    <w:qFormat/>
    <w:pPr>
      <w:widowControl w:val="0"/>
      <w:jc w:val="both"/>
    </w:pPr>
    <w:rPr>
      <w:kern w:val="2"/>
      <w:sz w:val="21"/>
      <w:szCs w:val="22"/>
    </w:rPr>
  </w:style>
  <w:style w:type="character" w:customStyle="1" w:styleId="ab">
    <w:name w:val="批注框文本 字符"/>
    <w:basedOn w:val="a1"/>
    <w:link w:val="aa"/>
    <w:semiHidden/>
    <w:qFormat/>
    <w:rPr>
      <w:rFonts w:ascii="Times New Roman" w:eastAsia="宋体" w:hAnsi="Times New Roman" w:cs="Times New Roman"/>
      <w:sz w:val="18"/>
      <w:szCs w:val="18"/>
    </w:rPr>
  </w:style>
  <w:style w:type="character" w:customStyle="1" w:styleId="af">
    <w:name w:val="页眉 字符"/>
    <w:basedOn w:val="a1"/>
    <w:link w:val="ae"/>
    <w:rPr>
      <w:rFonts w:ascii="Times New Roman" w:eastAsia="宋体" w:hAnsi="Times New Roman" w:cs="Times New Roman"/>
      <w:sz w:val="18"/>
      <w:szCs w:val="18"/>
    </w:rPr>
  </w:style>
  <w:style w:type="paragraph" w:customStyle="1" w:styleId="Char">
    <w:name w:val="Char"/>
    <w:basedOn w:val="a"/>
    <w:qFormat/>
    <w:rPr>
      <w:rFonts w:ascii="Times New Roman" w:eastAsia="宋体" w:hAnsi="Times New Roman" w:cs="Times New Roman"/>
      <w:szCs w:val="24"/>
    </w:rPr>
  </w:style>
  <w:style w:type="paragraph" w:customStyle="1" w:styleId="Char1">
    <w:name w:val="Char1"/>
    <w:basedOn w:val="a"/>
    <w:qFormat/>
    <w:pPr>
      <w:tabs>
        <w:tab w:val="left"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qFormat/>
    <w:rPr>
      <w:rFonts w:ascii="Times New Roman" w:eastAsia="宋体" w:hAnsi="Times New Roman" w:cs="Times New Roman"/>
      <w:szCs w:val="24"/>
    </w:rPr>
  </w:style>
  <w:style w:type="character" w:customStyle="1" w:styleId="a5">
    <w:name w:val="批注文字 字符"/>
    <w:basedOn w:val="a1"/>
    <w:link w:val="a4"/>
    <w:qFormat/>
    <w:rPr>
      <w:rFonts w:ascii="Times New Roman" w:eastAsia="宋体" w:hAnsi="Times New Roman" w:cs="Times New Roman"/>
      <w:szCs w:val="24"/>
      <w:lang w:val="zh-CN" w:eastAsia="zh-CN"/>
    </w:rPr>
  </w:style>
  <w:style w:type="paragraph" w:customStyle="1" w:styleId="CharCharCharCharCharCharChar1CharCharCharCharCharChar">
    <w:name w:val="Char Char Char Char Char Char Char1 Char Char Char Char Char Char"/>
    <w:basedOn w:val="a"/>
    <w:qFormat/>
    <w:rPr>
      <w:rFonts w:ascii="Times New Roman" w:eastAsia="宋体" w:hAnsi="Times New Roman" w:cs="Times New Roman"/>
      <w:szCs w:val="24"/>
    </w:rPr>
  </w:style>
  <w:style w:type="paragraph" w:customStyle="1" w:styleId="CharChar">
    <w:name w:val="Char Char"/>
    <w:basedOn w:val="a"/>
    <w:qFormat/>
    <w:rPr>
      <w:rFonts w:ascii="Times New Roman" w:eastAsia="宋体" w:hAnsi="Times New Roman" w:cs="Times New Roman"/>
      <w:szCs w:val="20"/>
    </w:rPr>
  </w:style>
  <w:style w:type="character" w:customStyle="1" w:styleId="HTML0">
    <w:name w:val="HTML 预设格式 字符"/>
    <w:basedOn w:val="a1"/>
    <w:link w:val="HTML"/>
    <w:uiPriority w:val="99"/>
    <w:qFormat/>
    <w:rPr>
      <w:rFonts w:ascii="宋体" w:eastAsia="宋体" w:hAnsi="宋体" w:cs="Times New Roman"/>
      <w:kern w:val="0"/>
      <w:sz w:val="24"/>
      <w:szCs w:val="24"/>
      <w:lang w:val="zh-CN" w:eastAsia="zh-CN"/>
    </w:rPr>
  </w:style>
  <w:style w:type="character" w:customStyle="1" w:styleId="af2">
    <w:name w:val="批注主题 字符"/>
    <w:basedOn w:val="a5"/>
    <w:link w:val="af1"/>
    <w:qFormat/>
    <w:rPr>
      <w:rFonts w:ascii="Times New Roman" w:eastAsia="宋体" w:hAnsi="Times New Roman" w:cs="Times New Roman"/>
      <w:b/>
      <w:bCs/>
      <w:szCs w:val="24"/>
      <w:lang w:val="zh-CN" w:eastAsia="zh-CN"/>
    </w:rPr>
  </w:style>
  <w:style w:type="paragraph" w:customStyle="1" w:styleId="10">
    <w:name w:val="修订1"/>
    <w:hidden/>
    <w:uiPriority w:val="99"/>
    <w:semiHidden/>
    <w:qFormat/>
    <w:rPr>
      <w:rFonts w:ascii="Times New Roman" w:eastAsia="宋体" w:hAnsi="Times New Roman" w:cs="Times New Roman"/>
      <w:kern w:val="2"/>
      <w:sz w:val="21"/>
      <w:szCs w:val="24"/>
    </w:rPr>
  </w:style>
  <w:style w:type="paragraph" w:customStyle="1" w:styleId="Web">
    <w:name w:val="普通 (Web)"/>
    <w:basedOn w:val="a"/>
    <w:qFormat/>
    <w:pPr>
      <w:widowControl/>
      <w:spacing w:before="100" w:beforeAutospacing="1" w:after="100" w:afterAutospacing="1"/>
      <w:jc w:val="left"/>
    </w:pPr>
    <w:rPr>
      <w:rFonts w:ascii="宋体" w:eastAsia="宋体" w:hAnsi="宋体" w:cs="Times New Roman"/>
      <w:kern w:val="0"/>
      <w:sz w:val="24"/>
      <w:szCs w:val="24"/>
    </w:rPr>
  </w:style>
  <w:style w:type="character" w:customStyle="1" w:styleId="Char0">
    <w:name w:val="批注文字 Char"/>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497488-39E7-4389-A283-05F856CBE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41</Pages>
  <Words>4731</Words>
  <Characters>26970</Characters>
  <Application>Microsoft Office Word</Application>
  <DocSecurity>0</DocSecurity>
  <Lines>224</Lines>
  <Paragraphs>63</Paragraphs>
  <ScaleCrop>false</ScaleCrop>
  <Company>Lenovo</Company>
  <LinksUpToDate>false</LinksUpToDate>
  <CharactersWithSpaces>31638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戴维</dc:creator>
  <cp:lastModifiedBy>晁梦婷</cp:lastModifiedBy>
  <cp:revision>5</cp:revision>
  <cp:lastPrinted>2022-03-21T05:52:00Z</cp:lastPrinted>
  <dcterms:created xsi:type="dcterms:W3CDTF">2022-04-11T01:30:00Z</dcterms:created>
  <dcterms:modified xsi:type="dcterms:W3CDTF">2022-12-27T02:36:00Z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