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atLeast"/>
        <w:jc w:val="center"/>
        <w:rPr>
          <w:rFonts w:ascii="彩虹小标宋" w:hAnsi="宋体" w:eastAsia="彩虹小标宋" w:cs="Times New Roman"/>
          <w:sz w:val="44"/>
          <w:szCs w:val="24"/>
        </w:rPr>
      </w:pPr>
      <w:r>
        <w:rPr>
          <w:rFonts w:hint="eastAsia" w:ascii="彩虹小标宋" w:hAnsi="宋体" w:eastAsia="彩虹小标宋" w:cs="Times New Roman"/>
          <w:sz w:val="44"/>
          <w:szCs w:val="24"/>
        </w:rPr>
        <w:t>中国建设银行厦门市分行2025-2026年数字人民币智慧食堂项目采购需求</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一、供应商要求</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1.企业必须是在中华人民共和国境内注册的具有独立承担民事责任能力的法人。</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2.企业须有固定的营业场所。</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3.供应商所提供使用的平台须具备有效的国家信息安全等级保护三级证书及测评报告。</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4.企业需成立三年（含）以上，经营状况正常且最近一年净利润为正数。</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5.企业须在厦门市设置售后服务团队（至少2人以上），</w:t>
      </w:r>
      <w:r>
        <w:rPr>
          <w:rFonts w:hint="eastAsia" w:ascii="彩虹粗仿宋" w:hAnsi="宋体" w:eastAsia="彩虹粗仿宋" w:cs="仿宋"/>
          <w:color w:val="000000"/>
          <w:kern w:val="0"/>
          <w:sz w:val="32"/>
          <w:szCs w:val="32"/>
          <w:lang w:val="en-US" w:eastAsia="zh-CN"/>
        </w:rPr>
        <w:t>入选</w:t>
      </w:r>
      <w:bookmarkStart w:id="0" w:name="_GoBack"/>
      <w:bookmarkEnd w:id="0"/>
      <w:r>
        <w:rPr>
          <w:rFonts w:hint="eastAsia" w:ascii="彩虹粗仿宋" w:hAnsi="宋体" w:eastAsia="彩虹粗仿宋" w:cs="仿宋"/>
          <w:color w:val="000000"/>
          <w:kern w:val="0"/>
          <w:sz w:val="32"/>
          <w:szCs w:val="32"/>
        </w:rPr>
        <w:t>后应在本地有技术人员便于本地化服务以及售后的技术支持（须提供承诺函）。</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6.企业近3年须具有与银行业合作同类项目的案例，符合资格要求并具有与建行系统内开展同类合作案例的企业优先。</w:t>
      </w:r>
    </w:p>
    <w:p>
      <w:pPr>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二、采购内容：</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1.提供数字人民币智慧食堂项目需要的硬件设备以及相应的安装实施服务（包含安装施工，网络部署）。</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2.供应商所提供食堂消费机等设备，必须包含免费的食堂餐饮等基础软件系统，能够满足政府机关、企事业单位、学校、老年社区、工业园区等市场场景使用。</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3.设备验收合格后，免费提供至少5年保修服务。</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4.组建厦门本地售后服务团队，能够及时为项目提供技术支持。</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三、参数规格和质量需求</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主要为智慧食堂提供硬件、基础软件系统和服务支持，硬件设备必须为经检验合格的、全新的、未曾使用过的设备。</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另，报价需涵盖台风天等极端天气下机具损坏的五年保险费用。</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具体所需软硬件产品见下表：</w:t>
      </w:r>
    </w:p>
    <w:tbl>
      <w:tblPr>
        <w:tblStyle w:val="6"/>
        <w:tblW w:w="8379" w:type="dxa"/>
        <w:jc w:val="center"/>
        <w:tblLayout w:type="autofit"/>
        <w:tblCellMar>
          <w:top w:w="0" w:type="dxa"/>
          <w:left w:w="108" w:type="dxa"/>
          <w:bottom w:w="0" w:type="dxa"/>
          <w:right w:w="108" w:type="dxa"/>
        </w:tblCellMar>
      </w:tblPr>
      <w:tblGrid>
        <w:gridCol w:w="724"/>
        <w:gridCol w:w="1865"/>
        <w:gridCol w:w="5790"/>
      </w:tblGrid>
      <w:tr>
        <w:tblPrEx>
          <w:tblCellMar>
            <w:top w:w="0" w:type="dxa"/>
            <w:left w:w="108" w:type="dxa"/>
            <w:bottom w:w="0" w:type="dxa"/>
            <w:right w:w="108" w:type="dxa"/>
          </w:tblCellMar>
        </w:tblPrEx>
        <w:trPr>
          <w:trHeight w:val="426"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b/>
                <w:bCs/>
                <w:color w:val="000000"/>
                <w:kern w:val="0"/>
                <w:sz w:val="22"/>
              </w:rPr>
            </w:pPr>
            <w:r>
              <w:rPr>
                <w:rFonts w:hint="eastAsia" w:ascii="彩虹粗仿宋" w:hAnsi="楷体" w:eastAsia="彩虹粗仿宋" w:cs="宋体"/>
                <w:b/>
                <w:bCs/>
                <w:color w:val="000000"/>
                <w:kern w:val="0"/>
                <w:sz w:val="22"/>
              </w:rPr>
              <w:t>序号</w:t>
            </w:r>
          </w:p>
        </w:tc>
        <w:tc>
          <w:tcPr>
            <w:tcW w:w="18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楷体" w:eastAsia="彩虹粗仿宋" w:cs="宋体"/>
                <w:b/>
                <w:bCs/>
                <w:color w:val="000000"/>
                <w:kern w:val="0"/>
                <w:sz w:val="22"/>
              </w:rPr>
            </w:pPr>
            <w:r>
              <w:rPr>
                <w:rFonts w:hint="eastAsia" w:ascii="彩虹粗仿宋" w:hAnsi="楷体" w:eastAsia="彩虹粗仿宋" w:cs="宋体"/>
                <w:b/>
                <w:bCs/>
                <w:color w:val="000000"/>
                <w:kern w:val="0"/>
                <w:sz w:val="22"/>
              </w:rPr>
              <w:t>产品名称</w:t>
            </w:r>
          </w:p>
        </w:tc>
        <w:tc>
          <w:tcPr>
            <w:tcW w:w="579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楷体" w:eastAsia="彩虹粗仿宋" w:cs="宋体"/>
                <w:b/>
                <w:bCs/>
                <w:color w:val="000000"/>
                <w:kern w:val="0"/>
                <w:sz w:val="22"/>
              </w:rPr>
            </w:pPr>
            <w:r>
              <w:rPr>
                <w:rFonts w:hint="eastAsia" w:ascii="彩虹粗仿宋" w:hAnsi="楷体" w:eastAsia="彩虹粗仿宋" w:cs="宋体"/>
                <w:b/>
                <w:bCs/>
                <w:color w:val="000000"/>
                <w:kern w:val="0"/>
                <w:sz w:val="22"/>
              </w:rPr>
              <w:t>技术要求</w:t>
            </w:r>
          </w:p>
        </w:tc>
      </w:tr>
      <w:tr>
        <w:tblPrEx>
          <w:tblCellMar>
            <w:top w:w="0" w:type="dxa"/>
            <w:left w:w="108" w:type="dxa"/>
            <w:bottom w:w="0" w:type="dxa"/>
            <w:right w:w="108" w:type="dxa"/>
          </w:tblCellMar>
        </w:tblPrEx>
        <w:trPr>
          <w:trHeight w:val="1323"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1</w:t>
            </w:r>
          </w:p>
        </w:tc>
        <w:tc>
          <w:tcPr>
            <w:tcW w:w="1865" w:type="dxa"/>
            <w:tcBorders>
              <w:top w:val="nil"/>
              <w:left w:val="nil"/>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数字人民币</w:t>
            </w:r>
          </w:p>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食堂基础</w:t>
            </w:r>
          </w:p>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软件系统</w:t>
            </w:r>
          </w:p>
        </w:tc>
        <w:tc>
          <w:tcPr>
            <w:tcW w:w="5790" w:type="dxa"/>
            <w:tcBorders>
              <w:top w:val="nil"/>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供应商所提供食堂消费机等设备，必须含免费的食堂餐饮等软件，能够满足政府、高校、企业、工业园区等市场场景使用，供应商所提供的智慧校园需求定制软件，均保证建行在后续其他项目可免费使用。</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1.平台支持要求：要求基于稳定的Windows/Linux平台。</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2.完整性和独立性要求：对其他第三方软件的依赖程度不能太高。</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3.安全性要求：满足互联网应用发布的安全规范，不易被攻破。</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4.易用性要求：提供简便的安装配置方法，并可以根据我行实际情况进行部署。</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5.性能要求：要求能够7*24小时运行。</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6.其他要求</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（1）系统开发应满足厦门分行数字人民币智慧校园、医院、工业园区等系统建设的要求，打造建行个性化智慧校园系统和建行其他医院、餐饮、建行生活等智慧食堂场景的需求。</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（2）免费提供平台部署所需服务器、免费对接建行生活、聚合支付、数字人民币、手机银行充值渠道开发及部署对接开发等。</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（3）供应商所提供的软件平台，对我行智慧校园使用软件过程中软件部署、实施、维护、服务器等相关配套服务必须免费提供，每个项目提供五年免费升级维护。</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4）系统开发类型涵盖：SaaS版本的食堂管理、智慧校园点餐订餐系统、微信公众号点餐系统、人脸识别消费系统、智慧校园管理系统、人脸识别系统、智慧校园缴费系统、门禁进出管理系统、门禁考勤系统、微信公众号对接、校园宿舍管理系统、智慧校园大数据分析、设备机具广告位投放、软件系统广告投放、智慧食堂的离线支付功能等智慧校园相关系统。</w:t>
            </w:r>
          </w:p>
        </w:tc>
      </w:tr>
      <w:tr>
        <w:tblPrEx>
          <w:tblCellMar>
            <w:top w:w="0" w:type="dxa"/>
            <w:left w:w="108" w:type="dxa"/>
            <w:bottom w:w="0" w:type="dxa"/>
            <w:right w:w="108" w:type="dxa"/>
          </w:tblCellMar>
        </w:tblPrEx>
        <w:trPr>
          <w:trHeight w:val="752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2</w:t>
            </w:r>
          </w:p>
        </w:tc>
        <w:tc>
          <w:tcPr>
            <w:tcW w:w="18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数字人民币智慧食堂收款设备</w:t>
            </w:r>
          </w:p>
        </w:tc>
        <w:tc>
          <w:tcPr>
            <w:tcW w:w="5790" w:type="dxa"/>
            <w:tcBorders>
              <w:top w:val="single" w:color="auto" w:sz="8" w:space="0"/>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支持通过刷脸、刷消费卡、扫二维码等方式发起数字人民币协议支付。支持单次设置收款金额、固定收款金额、查询收款记录、线上退款等功能。设备形式可为挂壁式、柜台式、手持式等。设备支付功能、速度、易用性、安全性需满足我行及客户需求，且符合国家收银设备的相关标准。</w:t>
            </w:r>
          </w:p>
          <w:p>
            <w:pPr>
              <w:widowControl/>
              <w:ind w:firstLine="442" w:firstLineChars="200"/>
              <w:jc w:val="left"/>
              <w:rPr>
                <w:rFonts w:ascii="彩虹粗仿宋" w:hAnsi="楷体" w:eastAsia="彩虹粗仿宋" w:cs="宋体"/>
                <w:color w:val="000000"/>
                <w:kern w:val="0"/>
                <w:sz w:val="22"/>
              </w:rPr>
            </w:pPr>
            <w:r>
              <w:rPr>
                <w:rFonts w:hint="eastAsia" w:ascii="彩虹粗仿宋" w:hAnsi="楷体" w:eastAsia="彩虹粗仿宋" w:cs="宋体"/>
                <w:b/>
                <w:color w:val="000000"/>
                <w:kern w:val="0"/>
                <w:sz w:val="22"/>
              </w:rPr>
              <w:t>需要随设备提供能够满足基础功能需求的软件系统。</w:t>
            </w:r>
            <w:r>
              <w:rPr>
                <w:rFonts w:hint="eastAsia" w:ascii="彩虹粗仿宋" w:hAnsi="楷体" w:eastAsia="彩虹粗仿宋" w:cs="宋体"/>
                <w:color w:val="000000"/>
                <w:kern w:val="0"/>
                <w:sz w:val="22"/>
              </w:rPr>
              <w:t>包括数字人民币支付收款系统、定制交易报表导出/分析系统、数据云存储服务，以及具备接入上述定制系统的可扩展能力。</w:t>
            </w:r>
          </w:p>
          <w:p>
            <w:pPr>
              <w:widowControl/>
              <w:ind w:firstLine="442" w:firstLineChars="200"/>
              <w:jc w:val="left"/>
              <w:rPr>
                <w:rFonts w:ascii="彩虹粗仿宋" w:hAnsi="楷体" w:eastAsia="彩虹粗仿宋" w:cs="宋体"/>
                <w:b/>
                <w:color w:val="000000"/>
                <w:kern w:val="0"/>
                <w:sz w:val="22"/>
              </w:rPr>
            </w:pPr>
            <w:r>
              <w:rPr>
                <w:rFonts w:hint="eastAsia" w:ascii="彩虹粗仿宋" w:hAnsi="楷体" w:eastAsia="彩虹粗仿宋" w:cs="宋体"/>
                <w:b/>
                <w:color w:val="000000"/>
                <w:kern w:val="0"/>
                <w:sz w:val="22"/>
              </w:rPr>
              <w:t>需提供系统安装调试服务，施工费计入刷脸设备成本。</w:t>
            </w:r>
          </w:p>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为保证用户使用体验，对刷脸支付设备参数做出要求：</w:t>
            </w:r>
          </w:p>
          <w:p>
            <w:pPr>
              <w:widowControl/>
              <w:ind w:firstLine="110" w:firstLineChars="5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1.主屏参数：7英寸及以上，分辨率1024*600及以上</w:t>
            </w:r>
          </w:p>
          <w:p>
            <w:pPr>
              <w:widowControl/>
              <w:ind w:firstLine="110" w:firstLineChars="5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2.背屏参数：尺寸4英寸及以上，带有实体数字键盘</w:t>
            </w:r>
          </w:p>
          <w:p>
            <w:pPr>
              <w:widowControl/>
              <w:ind w:firstLine="110" w:firstLineChars="5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3.内存容量：2GB及以上，系统需运行流畅</w:t>
            </w:r>
          </w:p>
          <w:p>
            <w:pPr>
              <w:widowControl/>
              <w:ind w:firstLine="110" w:firstLineChars="5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4.刷卡类型：包括但不限于IC卡、ID卡、CPU卡、NFC等</w:t>
            </w:r>
          </w:p>
          <w:p>
            <w:pPr>
              <w:widowControl/>
              <w:ind w:firstLine="110" w:firstLineChars="5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5.网络通讯：支持网线、Wi-Fi、4G流量卡等联网方式</w:t>
            </w:r>
          </w:p>
          <w:p>
            <w:pPr>
              <w:widowControl/>
              <w:ind w:firstLine="110" w:firstLineChars="5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6.扫码功能：条形码、二维码识别景深范围5-50mm及更宽，识别精度5mil及以上，识别速率50毫秒/次及更快</w:t>
            </w:r>
          </w:p>
          <w:p>
            <w:pPr>
              <w:widowControl/>
              <w:ind w:firstLine="110" w:firstLineChars="5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7.软件系统：要求基于稳定的Windows/Linux平台；对第三方软件依赖程度不能过高；满足互联网应用发布的安全规范，不易攻破；要求满足7*24小时稳定运行</w:t>
            </w:r>
          </w:p>
          <w:p>
            <w:pPr>
              <w:widowControl/>
              <w:ind w:firstLine="110" w:firstLineChars="5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8.每台含100张白卡</w:t>
            </w:r>
          </w:p>
          <w:p>
            <w:pPr>
              <w:widowControl/>
              <w:ind w:firstLine="110" w:firstLineChars="5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9.其他要求：满足厦门分行智慧食堂系统建设的要求，打造建行个性化智慧食堂系统。</w:t>
            </w:r>
          </w:p>
        </w:tc>
      </w:tr>
      <w:tr>
        <w:tblPrEx>
          <w:tblCellMar>
            <w:top w:w="0" w:type="dxa"/>
            <w:left w:w="108" w:type="dxa"/>
            <w:bottom w:w="0" w:type="dxa"/>
            <w:right w:w="108" w:type="dxa"/>
          </w:tblCellMar>
        </w:tblPrEx>
        <w:trPr>
          <w:trHeight w:val="1104"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3</w:t>
            </w:r>
          </w:p>
        </w:tc>
        <w:tc>
          <w:tcPr>
            <w:tcW w:w="18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数字人民币智慧食堂收款设备</w:t>
            </w:r>
          </w:p>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（含打印机）</w:t>
            </w:r>
          </w:p>
        </w:tc>
        <w:tc>
          <w:tcPr>
            <w:tcW w:w="5790" w:type="dxa"/>
            <w:tcBorders>
              <w:top w:val="single" w:color="auto" w:sz="8" w:space="0"/>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在（2）数字人民币智慧食堂收款设备的基础上含一台小票云打印机</w:t>
            </w:r>
          </w:p>
        </w:tc>
      </w:tr>
      <w:tr>
        <w:tblPrEx>
          <w:tblCellMar>
            <w:top w:w="0" w:type="dxa"/>
            <w:left w:w="108" w:type="dxa"/>
            <w:bottom w:w="0" w:type="dxa"/>
            <w:right w:w="108" w:type="dxa"/>
          </w:tblCellMar>
        </w:tblPrEx>
        <w:trPr>
          <w:trHeight w:val="1104"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4</w:t>
            </w:r>
          </w:p>
        </w:tc>
        <w:tc>
          <w:tcPr>
            <w:tcW w:w="1865" w:type="dxa"/>
            <w:tcBorders>
              <w:top w:val="single" w:color="auto" w:sz="8" w:space="0"/>
              <w:left w:val="nil"/>
              <w:bottom w:val="single" w:color="auto" w:sz="8" w:space="0"/>
              <w:right w:val="single" w:color="auto" w:sz="8" w:space="0"/>
            </w:tcBorders>
            <w:shd w:val="clear" w:color="auto" w:fill="auto"/>
            <w:vAlign w:val="center"/>
          </w:tcPr>
          <w:p>
            <w:pPr>
              <w:jc w:val="center"/>
              <w:rPr>
                <w:rFonts w:ascii="彩虹粗仿宋" w:hAnsi="楷体" w:eastAsia="彩虹粗仿宋"/>
                <w:sz w:val="22"/>
              </w:rPr>
            </w:pPr>
            <w:r>
              <w:rPr>
                <w:rFonts w:hint="eastAsia" w:ascii="彩虹粗仿宋" w:hAnsi="楷体" w:eastAsia="彩虹粗仿宋"/>
                <w:sz w:val="22"/>
              </w:rPr>
              <w:t>卧式卡码盒子</w:t>
            </w:r>
          </w:p>
          <w:p>
            <w:pPr>
              <w:jc w:val="center"/>
              <w:rPr>
                <w:rFonts w:ascii="彩虹粗仿宋" w:hAnsi="楷体" w:eastAsia="彩虹粗仿宋"/>
                <w:sz w:val="22"/>
              </w:rPr>
            </w:pPr>
            <w:r>
              <w:rPr>
                <w:rFonts w:hint="eastAsia" w:ascii="彩虹粗仿宋" w:hAnsi="楷体" w:eastAsia="彩虹粗仿宋"/>
                <w:sz w:val="22"/>
              </w:rPr>
              <w:t>（带数字键盘）</w:t>
            </w:r>
          </w:p>
        </w:tc>
        <w:tc>
          <w:tcPr>
            <w:tcW w:w="5790" w:type="dxa"/>
            <w:tcBorders>
              <w:top w:val="single" w:color="auto" w:sz="8" w:space="0"/>
              <w:left w:val="nil"/>
              <w:bottom w:val="single" w:color="auto" w:sz="8" w:space="0"/>
              <w:right w:val="single" w:color="auto" w:sz="8" w:space="0"/>
            </w:tcBorders>
            <w:shd w:val="clear" w:color="auto" w:fill="auto"/>
            <w:vAlign w:val="center"/>
          </w:tcPr>
          <w:p>
            <w:pPr>
              <w:ind w:firstLine="440" w:firstLineChars="200"/>
              <w:jc w:val="left"/>
              <w:rPr>
                <w:rFonts w:ascii="彩虹粗仿宋" w:hAnsi="楷体" w:eastAsia="彩虹粗仿宋"/>
                <w:sz w:val="22"/>
              </w:rPr>
            </w:pPr>
            <w:r>
              <w:rPr>
                <w:rFonts w:hint="eastAsia" w:ascii="彩虹粗仿宋" w:hAnsi="楷体" w:eastAsia="彩虹粗仿宋"/>
                <w:sz w:val="22"/>
              </w:rPr>
              <w:t>自带流量卡、具备处理器、存储设备、通讯模块、语音提示功能、带数字键盘（允许外接）、支持刷卡扫码</w:t>
            </w:r>
          </w:p>
        </w:tc>
      </w:tr>
      <w:tr>
        <w:tblPrEx>
          <w:tblCellMar>
            <w:top w:w="0" w:type="dxa"/>
            <w:left w:w="108" w:type="dxa"/>
            <w:bottom w:w="0" w:type="dxa"/>
            <w:right w:w="108" w:type="dxa"/>
          </w:tblCellMar>
        </w:tblPrEx>
        <w:trPr>
          <w:trHeight w:val="1104"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5</w:t>
            </w:r>
          </w:p>
        </w:tc>
        <w:tc>
          <w:tcPr>
            <w:tcW w:w="1865" w:type="dxa"/>
            <w:tcBorders>
              <w:top w:val="single" w:color="auto" w:sz="8" w:space="0"/>
              <w:left w:val="nil"/>
              <w:bottom w:val="single" w:color="auto" w:sz="8" w:space="0"/>
              <w:right w:val="single" w:color="auto" w:sz="8" w:space="0"/>
            </w:tcBorders>
            <w:shd w:val="clear" w:color="auto" w:fill="auto"/>
            <w:vAlign w:val="center"/>
          </w:tcPr>
          <w:p>
            <w:pPr>
              <w:jc w:val="center"/>
              <w:rPr>
                <w:rFonts w:ascii="彩虹粗仿宋" w:hAnsi="楷体" w:eastAsia="彩虹粗仿宋"/>
                <w:sz w:val="22"/>
              </w:rPr>
            </w:pPr>
            <w:r>
              <w:rPr>
                <w:rFonts w:hint="eastAsia" w:ascii="彩虹粗仿宋" w:hAnsi="楷体" w:eastAsia="彩虹粗仿宋"/>
                <w:sz w:val="22"/>
              </w:rPr>
              <w:t>手持卡码</w:t>
            </w:r>
          </w:p>
          <w:p>
            <w:pPr>
              <w:jc w:val="center"/>
              <w:rPr>
                <w:rFonts w:ascii="彩虹粗仿宋" w:hAnsi="楷体" w:eastAsia="彩虹粗仿宋"/>
                <w:sz w:val="22"/>
              </w:rPr>
            </w:pPr>
            <w:r>
              <w:rPr>
                <w:rFonts w:hint="eastAsia" w:ascii="彩虹粗仿宋" w:hAnsi="楷体" w:eastAsia="彩虹粗仿宋"/>
                <w:sz w:val="22"/>
              </w:rPr>
              <w:t>消费终端</w:t>
            </w:r>
          </w:p>
        </w:tc>
        <w:tc>
          <w:tcPr>
            <w:tcW w:w="5790" w:type="dxa"/>
            <w:tcBorders>
              <w:top w:val="single" w:color="auto" w:sz="8" w:space="0"/>
              <w:left w:val="nil"/>
              <w:bottom w:val="single" w:color="auto" w:sz="8" w:space="0"/>
              <w:right w:val="single" w:color="auto" w:sz="8" w:space="0"/>
            </w:tcBorders>
            <w:shd w:val="clear" w:color="auto" w:fill="auto"/>
            <w:vAlign w:val="center"/>
          </w:tcPr>
          <w:p>
            <w:pPr>
              <w:ind w:firstLine="440" w:firstLineChars="200"/>
              <w:jc w:val="left"/>
              <w:rPr>
                <w:rFonts w:ascii="彩虹粗仿宋" w:hAnsi="楷体" w:eastAsia="彩虹粗仿宋"/>
                <w:sz w:val="22"/>
              </w:rPr>
            </w:pPr>
            <w:r>
              <w:rPr>
                <w:rFonts w:hint="eastAsia" w:ascii="彩虹粗仿宋" w:hAnsi="楷体" w:eastAsia="彩虹粗仿宋"/>
                <w:sz w:val="22"/>
              </w:rPr>
              <w:t>自带流量卡、具备处理器、存储设备、通讯模块、语音提示功能、一体化数字键盘、支持刷卡扫码、无线手持、可充电</w:t>
            </w:r>
          </w:p>
        </w:tc>
      </w:tr>
      <w:tr>
        <w:tblPrEx>
          <w:tblCellMar>
            <w:top w:w="0" w:type="dxa"/>
            <w:left w:w="108" w:type="dxa"/>
            <w:bottom w:w="0" w:type="dxa"/>
            <w:right w:w="108" w:type="dxa"/>
          </w:tblCellMar>
        </w:tblPrEx>
        <w:trPr>
          <w:trHeight w:val="1104"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6</w:t>
            </w:r>
          </w:p>
        </w:tc>
        <w:tc>
          <w:tcPr>
            <w:tcW w:w="1865" w:type="dxa"/>
            <w:tcBorders>
              <w:top w:val="single" w:color="auto" w:sz="8" w:space="0"/>
              <w:left w:val="nil"/>
              <w:bottom w:val="single" w:color="auto" w:sz="8" w:space="0"/>
              <w:right w:val="single" w:color="auto" w:sz="8" w:space="0"/>
            </w:tcBorders>
            <w:shd w:val="clear" w:color="auto" w:fill="auto"/>
            <w:vAlign w:val="center"/>
          </w:tcPr>
          <w:p>
            <w:pPr>
              <w:jc w:val="center"/>
              <w:rPr>
                <w:rFonts w:ascii="彩虹粗仿宋" w:hAnsi="楷体" w:eastAsia="彩虹粗仿宋"/>
                <w:sz w:val="22"/>
              </w:rPr>
            </w:pPr>
            <w:r>
              <w:rPr>
                <w:rFonts w:hint="eastAsia" w:ascii="彩虹粗仿宋" w:hAnsi="楷体" w:eastAsia="彩虹粗仿宋"/>
                <w:sz w:val="22"/>
              </w:rPr>
              <w:t>智能就餐通道（含刷脸、刷卡、扫码）单机芯</w:t>
            </w:r>
          </w:p>
        </w:tc>
        <w:tc>
          <w:tcPr>
            <w:tcW w:w="5790" w:type="dxa"/>
            <w:tcBorders>
              <w:top w:val="single" w:color="auto" w:sz="8" w:space="0"/>
              <w:left w:val="nil"/>
              <w:bottom w:val="single" w:color="auto" w:sz="8" w:space="0"/>
              <w:right w:val="single" w:color="auto" w:sz="8" w:space="0"/>
            </w:tcBorders>
            <w:shd w:val="clear" w:color="auto" w:fill="auto"/>
            <w:vAlign w:val="center"/>
          </w:tcPr>
          <w:p>
            <w:pPr>
              <w:ind w:firstLine="440" w:firstLineChars="200"/>
              <w:jc w:val="left"/>
              <w:rPr>
                <w:rFonts w:ascii="彩虹粗仿宋" w:hAnsi="楷体" w:eastAsia="彩虹粗仿宋"/>
                <w:sz w:val="22"/>
              </w:rPr>
            </w:pPr>
            <w:r>
              <w:rPr>
                <w:rFonts w:hint="eastAsia" w:ascii="彩虹粗仿宋" w:hAnsi="楷体" w:eastAsia="彩虹粗仿宋"/>
                <w:sz w:val="22"/>
              </w:rPr>
              <w:t>含人脸识别/卡/码等模组（单机芯1套、双机芯2套），双向进出，具备进出时间段管理，红外/机械双重防夹功能，机械防撞功能，断电后自动解锁，闸门可自由推动，上电自动复位闭合，每个通道含500张白卡</w:t>
            </w:r>
          </w:p>
        </w:tc>
      </w:tr>
      <w:tr>
        <w:tblPrEx>
          <w:tblCellMar>
            <w:top w:w="0" w:type="dxa"/>
            <w:left w:w="108" w:type="dxa"/>
            <w:bottom w:w="0" w:type="dxa"/>
            <w:right w:w="108" w:type="dxa"/>
          </w:tblCellMar>
        </w:tblPrEx>
        <w:trPr>
          <w:trHeight w:val="1104"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7</w:t>
            </w:r>
          </w:p>
        </w:tc>
        <w:tc>
          <w:tcPr>
            <w:tcW w:w="1865" w:type="dxa"/>
            <w:tcBorders>
              <w:top w:val="single" w:color="auto" w:sz="8" w:space="0"/>
              <w:left w:val="nil"/>
              <w:bottom w:val="single" w:color="auto" w:sz="8" w:space="0"/>
              <w:right w:val="single" w:color="auto" w:sz="8" w:space="0"/>
            </w:tcBorders>
            <w:shd w:val="clear" w:color="auto" w:fill="auto"/>
            <w:vAlign w:val="center"/>
          </w:tcPr>
          <w:p>
            <w:pPr>
              <w:jc w:val="center"/>
              <w:rPr>
                <w:rFonts w:ascii="彩虹粗仿宋" w:hAnsi="楷体" w:eastAsia="彩虹粗仿宋"/>
                <w:sz w:val="22"/>
              </w:rPr>
            </w:pPr>
            <w:r>
              <w:rPr>
                <w:rFonts w:hint="eastAsia" w:ascii="彩虹粗仿宋" w:hAnsi="楷体" w:eastAsia="彩虹粗仿宋"/>
                <w:sz w:val="22"/>
              </w:rPr>
              <w:t>智能就餐通道（含刷脸、刷卡、扫码）双机芯</w:t>
            </w:r>
          </w:p>
        </w:tc>
        <w:tc>
          <w:tcPr>
            <w:tcW w:w="5790" w:type="dxa"/>
            <w:tcBorders>
              <w:top w:val="single" w:color="auto" w:sz="8" w:space="0"/>
              <w:left w:val="nil"/>
              <w:bottom w:val="single" w:color="auto" w:sz="8" w:space="0"/>
              <w:right w:val="single" w:color="auto" w:sz="8" w:space="0"/>
            </w:tcBorders>
            <w:shd w:val="clear" w:color="auto" w:fill="auto"/>
            <w:vAlign w:val="center"/>
          </w:tcPr>
          <w:p>
            <w:pPr>
              <w:ind w:firstLine="440" w:firstLineChars="200"/>
              <w:jc w:val="left"/>
              <w:rPr>
                <w:rFonts w:ascii="彩虹粗仿宋" w:hAnsi="楷体" w:eastAsia="彩虹粗仿宋"/>
                <w:sz w:val="22"/>
              </w:rPr>
            </w:pPr>
            <w:r>
              <w:rPr>
                <w:rFonts w:hint="eastAsia" w:ascii="彩虹粗仿宋" w:hAnsi="楷体" w:eastAsia="彩虹粗仿宋"/>
                <w:sz w:val="22"/>
              </w:rPr>
              <w:t>含人脸识别/卡/码等模组（单机芯1套、双机芯2套），双向进出，具备进出时间段管理，红外/机械双重防夹功能，机械防撞功能，断电后自动解锁，闸门可自由推动，上电自动复位闭合，每个通道含500张白卡。</w:t>
            </w:r>
          </w:p>
        </w:tc>
      </w:tr>
      <w:tr>
        <w:tblPrEx>
          <w:tblCellMar>
            <w:top w:w="0" w:type="dxa"/>
            <w:left w:w="108" w:type="dxa"/>
            <w:bottom w:w="0" w:type="dxa"/>
            <w:right w:w="108" w:type="dxa"/>
          </w:tblCellMar>
        </w:tblPrEx>
        <w:trPr>
          <w:trHeight w:val="1104"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8</w:t>
            </w:r>
          </w:p>
        </w:tc>
        <w:tc>
          <w:tcPr>
            <w:tcW w:w="18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单通道AI智能就餐结算台（桌面式）</w:t>
            </w:r>
          </w:p>
        </w:tc>
        <w:tc>
          <w:tcPr>
            <w:tcW w:w="5790" w:type="dxa"/>
            <w:tcBorders>
              <w:top w:val="single" w:color="auto" w:sz="8" w:space="0"/>
              <w:left w:val="nil"/>
              <w:bottom w:val="single" w:color="auto" w:sz="8" w:space="0"/>
              <w:right w:val="single" w:color="auto" w:sz="8" w:space="0"/>
            </w:tcBorders>
            <w:shd w:val="clear" w:color="auto" w:fill="auto"/>
            <w:vAlign w:val="center"/>
          </w:tcPr>
          <w:p>
            <w:pPr>
              <w:ind w:firstLine="440" w:firstLineChars="200"/>
              <w:jc w:val="left"/>
              <w:rPr>
                <w:rFonts w:ascii="彩虹粗仿宋" w:hAnsi="楷体" w:eastAsia="彩虹粗仿宋"/>
                <w:sz w:val="22"/>
              </w:rPr>
            </w:pPr>
            <w:r>
              <w:rPr>
                <w:rFonts w:hint="eastAsia" w:ascii="彩虹粗仿宋" w:hAnsi="楷体" w:eastAsia="彩虹粗仿宋"/>
                <w:sz w:val="22"/>
              </w:rPr>
              <w:t>具备处理器、操作系统、存储设备、双显示屏（电容式多点触摸屏）、通讯模块、语音提示功能、支持卡/扫码/刷脸支付，人脸摄像头、视觉识别摄像头、同时支持菜品识别和餐盘识别、每台含500张白卡、不含底座</w:t>
            </w:r>
          </w:p>
        </w:tc>
      </w:tr>
      <w:tr>
        <w:tblPrEx>
          <w:tblCellMar>
            <w:top w:w="0" w:type="dxa"/>
            <w:left w:w="108" w:type="dxa"/>
            <w:bottom w:w="0" w:type="dxa"/>
            <w:right w:w="108" w:type="dxa"/>
          </w:tblCellMar>
        </w:tblPrEx>
        <w:trPr>
          <w:trHeight w:val="1104"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9</w:t>
            </w:r>
          </w:p>
        </w:tc>
        <w:tc>
          <w:tcPr>
            <w:tcW w:w="18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智能收银称</w:t>
            </w:r>
          </w:p>
        </w:tc>
        <w:tc>
          <w:tcPr>
            <w:tcW w:w="5790" w:type="dxa"/>
            <w:tcBorders>
              <w:top w:val="single" w:color="auto" w:sz="8" w:space="0"/>
              <w:left w:val="nil"/>
              <w:bottom w:val="single" w:color="auto" w:sz="8" w:space="0"/>
              <w:right w:val="single" w:color="auto" w:sz="8" w:space="0"/>
            </w:tcBorders>
            <w:shd w:val="clear" w:color="auto" w:fill="auto"/>
            <w:vAlign w:val="center"/>
          </w:tcPr>
          <w:p>
            <w:pPr>
              <w:ind w:firstLine="440" w:firstLineChars="200"/>
              <w:jc w:val="left"/>
              <w:rPr>
                <w:rFonts w:ascii="彩虹粗仿宋" w:hAnsi="楷体" w:eastAsia="彩虹粗仿宋"/>
                <w:sz w:val="22"/>
              </w:rPr>
            </w:pPr>
            <w:r>
              <w:rPr>
                <w:rFonts w:hint="eastAsia" w:ascii="彩虹粗仿宋" w:hAnsi="楷体" w:eastAsia="彩虹粗仿宋"/>
                <w:sz w:val="22"/>
              </w:rPr>
              <w:t>计量性能：执行《GBT7722-2020电子台案秤》国家标准。最大秤量15kg，最小秤量100g，分度值5g。准确度等级III级，采用LED数码管显示，Android11,内存容量(RAM)DDR32GB,主屏7英寸，副屏4.5英寸，分辨率1024*600，识读码制：二维码、一维码，识读精度≥5mil，读取速率50ms/次，支持TCP/4G/wifi，双显示屏显示，可读卡类IC、ID、CPU卡等。</w:t>
            </w:r>
          </w:p>
        </w:tc>
      </w:tr>
      <w:tr>
        <w:tblPrEx>
          <w:tblCellMar>
            <w:top w:w="0" w:type="dxa"/>
            <w:left w:w="108" w:type="dxa"/>
            <w:bottom w:w="0" w:type="dxa"/>
            <w:right w:w="108" w:type="dxa"/>
          </w:tblCellMar>
        </w:tblPrEx>
        <w:trPr>
          <w:trHeight w:val="1329"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10</w:t>
            </w:r>
          </w:p>
        </w:tc>
        <w:tc>
          <w:tcPr>
            <w:tcW w:w="1865" w:type="dxa"/>
            <w:tcBorders>
              <w:top w:val="nil"/>
              <w:left w:val="nil"/>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消费机读卡器</w:t>
            </w:r>
          </w:p>
        </w:tc>
        <w:tc>
          <w:tcPr>
            <w:tcW w:w="5790" w:type="dxa"/>
            <w:tcBorders>
              <w:top w:val="nil"/>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根据客户需求进行消费卡的读取、写入、注销、挂失补发等操作。需配置USB数据线，兼容Windows、Linux等多操作系统，支持x86、龙芯、兆芯等计算机环境。</w:t>
            </w:r>
          </w:p>
        </w:tc>
      </w:tr>
      <w:tr>
        <w:tblPrEx>
          <w:tblCellMar>
            <w:top w:w="0" w:type="dxa"/>
            <w:left w:w="108" w:type="dxa"/>
            <w:bottom w:w="0" w:type="dxa"/>
            <w:right w:w="108" w:type="dxa"/>
          </w:tblCellMar>
        </w:tblPrEx>
        <w:trPr>
          <w:trHeight w:val="1329"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11</w:t>
            </w:r>
          </w:p>
        </w:tc>
        <w:tc>
          <w:tcPr>
            <w:tcW w:w="1865" w:type="dxa"/>
            <w:tcBorders>
              <w:top w:val="nil"/>
              <w:left w:val="nil"/>
              <w:bottom w:val="single" w:color="auto" w:sz="8" w:space="0"/>
              <w:right w:val="single" w:color="auto" w:sz="8" w:space="0"/>
            </w:tcBorders>
            <w:shd w:val="clear" w:color="auto" w:fill="auto"/>
            <w:vAlign w:val="center"/>
          </w:tcPr>
          <w:p>
            <w:pPr>
              <w:widowControl/>
              <w:jc w:val="center"/>
              <w:rPr>
                <w:rFonts w:ascii="彩虹粗仿宋" w:hAnsi="楷体" w:eastAsia="彩虹粗仿宋" w:cs="宋体"/>
                <w:color w:val="000000"/>
                <w:kern w:val="0"/>
                <w:sz w:val="22"/>
              </w:rPr>
            </w:pPr>
            <w:r>
              <w:rPr>
                <w:rFonts w:hint="eastAsia" w:ascii="彩虹粗仿宋" w:hAnsi="楷体" w:eastAsia="彩虹粗仿宋" w:cs="宋体"/>
                <w:color w:val="000000"/>
                <w:kern w:val="0"/>
                <w:sz w:val="22"/>
              </w:rPr>
              <w:t>定制消费卡</w:t>
            </w:r>
          </w:p>
        </w:tc>
        <w:tc>
          <w:tcPr>
            <w:tcW w:w="5790" w:type="dxa"/>
            <w:tcBorders>
              <w:top w:val="nil"/>
              <w:left w:val="nil"/>
              <w:bottom w:val="single" w:color="auto" w:sz="8" w:space="0"/>
              <w:right w:val="single" w:color="auto" w:sz="8" w:space="0"/>
            </w:tcBorders>
            <w:shd w:val="clear" w:color="auto" w:fill="auto"/>
            <w:vAlign w:val="center"/>
          </w:tcPr>
          <w:p>
            <w:pPr>
              <w:ind w:firstLine="440" w:firstLineChars="200"/>
              <w:jc w:val="left"/>
              <w:rPr>
                <w:rFonts w:ascii="彩虹粗仿宋" w:hAnsi="楷体" w:eastAsia="彩虹粗仿宋"/>
                <w:sz w:val="22"/>
              </w:rPr>
            </w:pPr>
            <w:r>
              <w:rPr>
                <w:rFonts w:hint="eastAsia" w:ascii="彩虹粗仿宋" w:hAnsi="楷体" w:eastAsia="彩虹粗仿宋"/>
                <w:sz w:val="22"/>
              </w:rPr>
              <w:t>支持刷卡消费，交易联动食堂消费系统以及建行支付接口，可根据客户需求定制卡面样式。</w:t>
            </w:r>
          </w:p>
        </w:tc>
      </w:tr>
    </w:tbl>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四、采购数量需求</w:t>
      </w:r>
    </w:p>
    <w:p>
      <w:pPr>
        <w:snapToGrid w:val="0"/>
        <w:spacing w:line="580" w:lineRule="exact"/>
        <w:ind w:right="9" w:firstLine="640" w:firstLineChars="200"/>
        <w:rPr>
          <w:rFonts w:ascii="彩虹粗仿宋" w:hAnsi="宋体" w:eastAsia="彩虹粗仿宋" w:cs="Times New Roman"/>
          <w:sz w:val="32"/>
          <w:szCs w:val="32"/>
        </w:rPr>
      </w:pPr>
      <w:r>
        <w:rPr>
          <w:rFonts w:hint="eastAsia" w:ascii="彩虹粗仿宋" w:eastAsia="彩虹粗仿宋"/>
          <w:sz w:val="32"/>
          <w:szCs w:val="32"/>
        </w:rPr>
        <w:t>设备采购</w:t>
      </w:r>
      <w:r>
        <w:rPr>
          <w:rFonts w:hint="eastAsia" w:ascii="彩虹粗仿宋" w:hAnsi="宋体" w:eastAsia="彩虹粗仿宋" w:cs="Times New Roman"/>
          <w:sz w:val="32"/>
          <w:szCs w:val="32"/>
        </w:rPr>
        <w:t>计划签订框架合同，我行根据实际情况按需下单采购。</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五、供货及安装需求</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1.供应商负责采用物流运输方式将产品安全运至建行要求的指定交货地点。</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2.供应商交付产品应具有适于前款运输方式的坚固包装，供应商应根据产品的不同特性和要求采取防潮、防雨、防锈、防震、防磁等保护措施，以确保产品安全无损地到达交货地点。</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3.运输、包装、装卸及运输保险费用由供应商负担，产品在按照项目约定所有权转移给建行前的全部风险由供应商承担。</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4.交货时应当同时附有技术规格、使用说明、配套软件、质量合格证书等相关文件或技术资料，文件或技术资料应当清晰、准确和完整。</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5.特殊情况，供应商要求变更约定的交货地点、交货时间的，应当提前15个工作日通知建行并取得书面同意。</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6.要求变更交货地点、交货时间的，应提前通知供应商，供应商应当予以同意，由此增加的运输费用由双方协商解决。</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7.供应商应当在产品运至约定交货地点前15日通知建行，以便建行做好接收准备。产品运至约定交货地点后15日内建行对产品进行接收。接收时建行有权对供应商所交产品的外包装完好程度、产品品牌、规格/型号、数量、产地或生产厂商等是否符合项目约定进行初验。供应商交付的产品存在损坏或短缺，或产品品牌、规格/型号、配置性能等不符合约定的，建行有权拒绝接收相应产品且供应商应按项目约定承担违约责任。对于被拒绝接收的产品，可暂时存放建行处，但产品毁损、灭失的风险由供应商承担。初验后应由建行根据初验结果签署到货证明。</w:t>
      </w:r>
    </w:p>
    <w:p>
      <w:pPr>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8.若建行在开包使用过程中发现供应商交付的产品有错漏、数量短缺、损坏或与项目规定的技术要求和规格不符时，供应商应按建行要求及时到现场联合检查并确认有关问题。经确认问题的确存在的，供应商应当按照建行要求在15个工作日内更换或补足产品，并承担由此产生的全部费用；同时，供应商应当按照约定承担违约责任。</w:t>
      </w:r>
    </w:p>
    <w:p>
      <w:pPr>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9.所有权自产品交由建行或建行指定人员占有并由建行签署到货证明之时起转移给建行。</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10.需提供加电测试服务，应遵守本条的约定。</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对于经建行初验合格并签署到货证明的产品，供应商应当在15个工作日内做好必要的加电测试准备工作并向建行发出可以进行加电测试的书面通知。建行自收到供应商通知之日起15日内开始对产品进行加电测试。如供应商在约定期限内未及时发出可以进行加电测试的书面通知，建行也可自行决定开始进行加电测试的日期。建行对产品享有15个工作日的加电测试期。</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11.试期结束，产品符合项目约定的，建行签署加电测试验收合格证明。若加电测试期间发现产品不符合约定的，供应商应当在发现不符或建行指出的不符后，立即以全新的符合项目约定的产品进行替换或按照建行要求采取其他补救措施。加电测试期自供应商采取相应的补救措施后开始重新计算（简称“重新提交验收”）。若供应商重新提交验收而导致产品未在原定的加电测试期限或验收合格期限前验收合格的，供应商应承担逾期违约责任。除项目另有约定外，建行无需为安装调试服务支付任何费用。</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12.调试服务工作完成后（或双方书面另行约定其他时点），安装调试服务提供方应当在15日内做好验收的必要准备并向建行发出可以进行验收的书面通知。建行自收到安装调试服务提供方的通知之日起15日内开始对安装调试服务按照项目约定的验收标准进行验收，验收合格后建行签署验收合格证明。如验收不合格，安装调试服务提供方应当立即采取措施纠正不符之处，并与建行协商约定新的验收时间进行验收（简称“重新提交验收”）。若因安装调试服务提供方重新提交验收而未在原定的服务完成期限或验收合格期限前验收合格的，由供应商对安装调试服务提供方的违约行为承担逾期违约责任。</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13.需建立智慧校园经营风险保障机制，对食堂经营中由供应商系统造成的资金损失由供应商全部赔付，对智慧校园进出数据进行风险监管和保护。</w:t>
      </w:r>
    </w:p>
    <w:p>
      <w:pPr>
        <w:spacing w:line="580" w:lineRule="exact"/>
        <w:ind w:firstLine="640" w:firstLineChars="200"/>
        <w:rPr>
          <w:rFonts w:ascii="彩虹粗仿宋" w:hAnsi="宋体" w:eastAsia="彩虹粗仿宋" w:cs="Times New Roman"/>
          <w:sz w:val="32"/>
          <w:szCs w:val="32"/>
        </w:rPr>
      </w:pPr>
      <w:r>
        <w:rPr>
          <w:rFonts w:hint="eastAsia" w:ascii="彩虹黑体" w:hAnsi="宋体" w:eastAsia="彩虹黑体" w:cs="Times New Roman"/>
          <w:sz w:val="32"/>
          <w:szCs w:val="32"/>
        </w:rPr>
        <w:t>六、款项支付需求</w:t>
      </w:r>
    </w:p>
    <w:p>
      <w:pPr>
        <w:adjustRightInd w:val="0"/>
        <w:snapToGrid w:val="0"/>
        <w:spacing w:line="580" w:lineRule="exact"/>
        <w:ind w:left="40" w:leftChars="19" w:firstLine="640" w:firstLineChars="200"/>
        <w:rPr>
          <w:rFonts w:ascii="彩虹黑体" w:hAnsi="宋体" w:eastAsia="彩虹黑体" w:cs="Times New Roman"/>
          <w:sz w:val="32"/>
          <w:szCs w:val="32"/>
        </w:rPr>
      </w:pPr>
      <w:r>
        <w:rPr>
          <w:rFonts w:hint="eastAsia" w:ascii="彩虹粗仿宋" w:hAnsi="宋体" w:eastAsia="彩虹粗仿宋" w:cs="Times New Roman"/>
          <w:sz w:val="32"/>
          <w:szCs w:val="32"/>
        </w:rPr>
        <w:t>1.项目价款和价外费用均为包含</w:t>
      </w:r>
      <w:r>
        <w:rPr>
          <w:rFonts w:ascii="彩虹粗仿宋" w:hAnsi="宋体" w:eastAsia="彩虹粗仿宋" w:cs="Times New Roman"/>
          <w:sz w:val="32"/>
          <w:szCs w:val="32"/>
        </w:rPr>
        <w:t>增值税</w:t>
      </w:r>
      <w:r>
        <w:rPr>
          <w:rFonts w:hint="eastAsia" w:ascii="彩虹粗仿宋" w:hAnsi="宋体" w:eastAsia="彩虹粗仿宋" w:cs="Times New Roman"/>
          <w:sz w:val="32"/>
          <w:szCs w:val="32"/>
        </w:rPr>
        <w:t>的含税价，项目价款已包含项目项下建行应支付的所有款项，建行无需再支出任何其他款项。依据我国法律法规及税收政策，本项目产品或服务所涉及的增值税税率发生调整，双方一致同意按照调整后的增值税税率相应调整项目价款。</w:t>
      </w:r>
    </w:p>
    <w:p>
      <w:pPr>
        <w:adjustRightInd w:val="0"/>
        <w:snapToGrid w:val="0"/>
        <w:spacing w:line="580" w:lineRule="exact"/>
        <w:ind w:firstLine="624"/>
        <w:rPr>
          <w:rFonts w:ascii="彩虹粗仿宋" w:hAnsi="宋体" w:eastAsia="彩虹粗仿宋" w:cs="Times New Roman"/>
          <w:sz w:val="32"/>
          <w:szCs w:val="32"/>
          <w:highlight w:val="none"/>
        </w:rPr>
      </w:pPr>
      <w:r>
        <w:rPr>
          <w:rFonts w:hint="eastAsia" w:ascii="彩虹粗仿宋" w:hAnsi="宋体" w:eastAsia="彩虹粗仿宋" w:cs="Times New Roman"/>
          <w:sz w:val="32"/>
          <w:szCs w:val="32"/>
        </w:rPr>
        <w:t>2.自设备到货验收合格并且全部设备开机测试验收合格、供应商无任何违约行为后，供应商向我行提出书面付款申请并开具</w:t>
      </w:r>
      <w:r>
        <w:rPr>
          <w:rFonts w:hint="eastAsia" w:ascii="彩虹粗仿宋" w:hAnsi="宋体" w:eastAsia="彩虹粗仿宋" w:cs="Times New Roman"/>
          <w:sz w:val="32"/>
          <w:szCs w:val="32"/>
          <w:highlight w:val="none"/>
        </w:rPr>
        <w:t>符合规定的相应增值税专用发票，我行验收合格后付清货款，质保期5年。</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highlight w:val="none"/>
        </w:rPr>
        <w:t>3.</w:t>
      </w:r>
      <w:r>
        <w:rPr>
          <w:rFonts w:hint="eastAsia"/>
          <w:highlight w:val="none"/>
        </w:rPr>
        <w:t xml:space="preserve"> </w:t>
      </w:r>
      <w:r>
        <w:rPr>
          <w:rFonts w:hint="eastAsia" w:ascii="彩虹粗仿宋" w:hAnsi="宋体" w:eastAsia="彩虹粗仿宋" w:cs="Times New Roman"/>
          <w:sz w:val="32"/>
          <w:szCs w:val="32"/>
          <w:highlight w:val="none"/>
        </w:rPr>
        <w:t>履约保证金缴交：入选供应商应在合同签署前缴交履约保证金50000元。合同期内供应商按合同约定的责任和义务履约的，最后一笔订单的维保期到期后一个月退还。</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七、售后服务需求</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提供的设备必须为经检验合格的、全新的、未曾使用过的设备。硬件产品需送达到指定商户地点，并进行系统安装调试。硬件产品5年免费现场上门保修服务，1年2次巡检支持服务。（保修期以双方验收合格之日起计算）保修期内供应商需提供免费上门维护/维修设备、更换整机或零部件。超过保修期后产生的故障问题，具体配件定价由当时的市场定价决定。我行有权要求供应商予以无条件维修、更换或退货。</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2.经商户确认，收银刷脸设备可满足其需求，正常使用数币支付交易测试成功。</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3.培训：供应商应向业主提供培训及培训资料，确保业主的工作人员对相关功能、装置、操作、故障判断、日常维护保养等技能的应用。</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4.建行客户在使用该公司智慧食堂软件期间，免费提供云服务器数据交互服务。</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5.个人数据中心后台管理：支持与客户方已建设的个人数据管理系统兼容。</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6.售后服务要求：客服响应时间为7*24小时，故障排除上门响应时间为4小时内。</w:t>
      </w:r>
    </w:p>
    <w:p>
      <w:pPr>
        <w:spacing w:line="580" w:lineRule="exact"/>
        <w:ind w:firstLine="640" w:firstLineChars="200"/>
        <w:rPr>
          <w:rFonts w:ascii="彩虹粗仿宋" w:hAnsi="宋体" w:eastAsia="彩虹粗仿宋" w:cs="仿宋"/>
          <w:color w:val="000000"/>
          <w:kern w:val="0"/>
          <w:sz w:val="32"/>
          <w:szCs w:val="32"/>
          <w:highlight w:val="none"/>
        </w:rPr>
      </w:pPr>
      <w:r>
        <w:rPr>
          <w:rFonts w:hint="eastAsia" w:ascii="彩虹粗仿宋" w:hAnsi="宋体" w:eastAsia="彩虹粗仿宋" w:cs="仿宋"/>
          <w:color w:val="000000"/>
          <w:kern w:val="0"/>
          <w:sz w:val="32"/>
          <w:szCs w:val="32"/>
          <w:highlight w:val="none"/>
        </w:rPr>
        <w:t>7.供应商对建行所有支付接口进行免费开发，不得收取任何费用。</w:t>
      </w:r>
    </w:p>
    <w:p>
      <w:pPr>
        <w:spacing w:line="580" w:lineRule="exact"/>
        <w:ind w:firstLine="640" w:firstLineChars="200"/>
        <w:rPr>
          <w:rFonts w:ascii="彩虹粗仿宋" w:hAnsi="宋体" w:eastAsia="彩虹粗仿宋" w:cs="仿宋"/>
          <w:color w:val="000000"/>
          <w:kern w:val="0"/>
          <w:sz w:val="32"/>
          <w:szCs w:val="32"/>
          <w:highlight w:val="none"/>
        </w:rPr>
      </w:pPr>
      <w:r>
        <w:rPr>
          <w:rFonts w:hint="eastAsia" w:ascii="彩虹粗仿宋" w:hAnsi="宋体" w:eastAsia="彩虹粗仿宋" w:cs="仿宋"/>
          <w:color w:val="000000"/>
          <w:kern w:val="0"/>
          <w:sz w:val="32"/>
          <w:szCs w:val="32"/>
          <w:highlight w:val="none"/>
        </w:rPr>
        <w:t>8．根据客户个性化需求，可以免费进行适当软件开发（每个项目至少1个人/月），如果需要进行大量软件开发的，涉及费用双方再进行商议；</w:t>
      </w:r>
      <w:r>
        <w:rPr>
          <w:rFonts w:hint="eastAsia" w:ascii="彩虹粗仿宋" w:hAnsi="宋体" w:eastAsia="彩虹粗仿宋" w:cs="仿宋"/>
          <w:b/>
          <w:bCs/>
          <w:color w:val="000000"/>
          <w:kern w:val="0"/>
          <w:sz w:val="32"/>
          <w:szCs w:val="32"/>
          <w:highlight w:val="none"/>
        </w:rPr>
        <w:t>供应商所提供的智慧食堂需求定制软件，均保证建行在后续其他项目可免费使用</w:t>
      </w:r>
      <w:r>
        <w:rPr>
          <w:rFonts w:hint="eastAsia" w:ascii="彩虹粗仿宋" w:eastAsia="彩虹粗仿宋" w:hAnsiTheme="minorEastAsia"/>
          <w:sz w:val="32"/>
          <w:szCs w:val="32"/>
          <w:highlight w:val="none"/>
        </w:rPr>
        <w:t>。</w:t>
      </w:r>
    </w:p>
    <w:p>
      <w:pPr>
        <w:ind w:firstLine="640" w:firstLineChars="200"/>
        <w:rPr>
          <w:rFonts w:ascii="彩虹粗仿宋" w:hAnsi="宋体" w:eastAsia="彩虹粗仿宋" w:cs="仿宋"/>
          <w:color w:val="000000"/>
          <w:kern w:val="0"/>
          <w:sz w:val="32"/>
          <w:szCs w:val="32"/>
          <w:highlight w:val="none"/>
        </w:rPr>
      </w:pPr>
      <w:r>
        <w:rPr>
          <w:rFonts w:hint="eastAsia" w:ascii="彩虹粗仿宋" w:hAnsi="宋体" w:eastAsia="彩虹粗仿宋" w:cs="仿宋"/>
          <w:color w:val="000000"/>
          <w:kern w:val="0"/>
          <w:sz w:val="32"/>
          <w:szCs w:val="32"/>
          <w:highlight w:val="none"/>
        </w:rPr>
        <w:t>9.供应商与建行合作的每个项目需提供软硬件五年的免费维护和升级.</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highlight w:val="none"/>
        </w:rPr>
        <w:t>10.供应商对食堂和进出管理机具所采集的人脸库进行</w:t>
      </w:r>
      <w:r>
        <w:rPr>
          <w:rFonts w:hint="eastAsia" w:ascii="彩虹粗仿宋" w:hAnsi="宋体" w:eastAsia="彩虹粗仿宋" w:cs="仿宋"/>
          <w:color w:val="000000"/>
          <w:kern w:val="0"/>
          <w:sz w:val="32"/>
          <w:szCs w:val="32"/>
        </w:rPr>
        <w:t>风险管理，以及供应商对系统所存所有信息进行信息安全风险管理，如发生风险事件由系统供应商全部承担责任，建行保留进一步追究的权利。</w:t>
      </w:r>
    </w:p>
    <w:p>
      <w:pPr>
        <w:ind w:firstLine="640" w:firstLineChars="200"/>
        <w:rPr>
          <w:rFonts w:ascii="彩虹粗仿宋" w:eastAsia="彩虹粗仿宋" w:hAnsiTheme="minorEastAsia"/>
          <w:sz w:val="32"/>
          <w:szCs w:val="32"/>
          <w:highlight w:val="none"/>
        </w:rPr>
      </w:pPr>
      <w:r>
        <w:rPr>
          <w:rFonts w:hint="eastAsia" w:ascii="彩虹粗仿宋" w:eastAsia="彩虹粗仿宋" w:hAnsiTheme="minorEastAsia"/>
          <w:sz w:val="32"/>
          <w:szCs w:val="32"/>
        </w:rPr>
        <w:t>11.供应商要提供平台源代码给建行定期定版（建行承诺源代码保密，供应商因为经营等原因，无法继续提供服务</w:t>
      </w:r>
      <w:r>
        <w:rPr>
          <w:rFonts w:hint="eastAsia" w:ascii="彩虹粗仿宋" w:eastAsia="彩虹粗仿宋" w:hAnsiTheme="minorEastAsia"/>
          <w:sz w:val="32"/>
          <w:szCs w:val="32"/>
          <w:highlight w:val="none"/>
        </w:rPr>
        <w:t>时，建行才会使用源代码搭建平台）,供应商接受建行对源代码漏洞扫描,并根据扫描结果进行整改。</w:t>
      </w:r>
    </w:p>
    <w:p>
      <w:pPr>
        <w:adjustRightInd w:val="0"/>
        <w:snapToGrid w:val="0"/>
        <w:spacing w:line="580" w:lineRule="exact"/>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12.</w:t>
      </w:r>
      <w:r>
        <w:rPr>
          <w:rFonts w:hint="eastAsia" w:ascii="彩虹粗仿宋" w:hAnsi="宋体" w:eastAsia="彩虹粗仿宋" w:cs="Times New Roman"/>
          <w:b/>
          <w:bCs/>
          <w:snapToGrid w:val="0"/>
          <w:kern w:val="0"/>
          <w:sz w:val="32"/>
          <w:szCs w:val="32"/>
          <w:highlight w:val="none"/>
        </w:rPr>
        <w:t>服务期间，供应商使用平台每年都要提供国家信息安全等级保护三级证书及测评报告</w:t>
      </w:r>
      <w:r>
        <w:rPr>
          <w:rFonts w:hint="eastAsia" w:ascii="彩虹粗仿宋" w:hAnsi="宋体" w:eastAsia="彩虹粗仿宋" w:cs="Times New Roman"/>
          <w:snapToGrid w:val="0"/>
          <w:kern w:val="0"/>
          <w:sz w:val="32"/>
          <w:szCs w:val="32"/>
          <w:highlight w:val="none"/>
        </w:rPr>
        <w:t>。</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13.服务期届满后，在供应商和我行</w:t>
      </w:r>
      <w:r>
        <w:rPr>
          <w:rFonts w:hint="eastAsia" w:ascii="彩虹粗仿宋" w:hAnsi="宋体" w:eastAsia="彩虹粗仿宋" w:cs="Times New Roman"/>
          <w:snapToGrid w:val="0"/>
          <w:kern w:val="0"/>
          <w:sz w:val="32"/>
          <w:szCs w:val="32"/>
        </w:rPr>
        <w:t>双方尚未续签项目或尚未与第三方另行签订服务项目的过渡期，供应商必须继续为我行提供服务，供应商和我行双方之间仍履行项目约定的各自权利、义务及违约责任。</w:t>
      </w:r>
    </w:p>
    <w:p>
      <w:pPr>
        <w:spacing w:line="580" w:lineRule="exact"/>
        <w:ind w:firstLine="420"/>
        <w:rPr>
          <w:rFonts w:ascii="彩虹粗仿宋" w:hAnsi="宋体" w:eastAsia="彩虹粗仿宋" w:cs="Times New Roman"/>
          <w:sz w:val="32"/>
          <w:szCs w:val="32"/>
        </w:rPr>
      </w:pPr>
      <w:r>
        <w:rPr>
          <w:rFonts w:hint="eastAsia" w:ascii="彩虹黑体" w:hAnsi="宋体" w:eastAsia="彩虹黑体" w:cs="Times New Roman"/>
          <w:sz w:val="32"/>
          <w:szCs w:val="32"/>
        </w:rPr>
        <w:t>八、其他需求</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Times New Roman"/>
          <w:sz w:val="32"/>
          <w:szCs w:val="32"/>
        </w:rPr>
        <w:t>1.</w:t>
      </w:r>
      <w:r>
        <w:rPr>
          <w:rFonts w:hint="eastAsia" w:ascii="彩虹粗仿宋" w:hAnsi="宋体" w:eastAsia="彩虹粗仿宋" w:cs="仿宋"/>
          <w:color w:val="000000"/>
          <w:kern w:val="0"/>
          <w:sz w:val="32"/>
          <w:szCs w:val="32"/>
        </w:rPr>
        <w:t>供应商必须按照国家个人信息保护相关法律法规的要求对项目中涉及的全部客户信息进行处理和保密，包括但不限于交易账号、交易明细、个人信息及联系方式等；必须按照国家个人信息保护相关法律法规的要求对人脸数据等敏感信息进行处理和保密，不得违反民法典第一千零三十四条“生物识别信息”相关规定；对通过与建行合作项目采集的全部个人信息用于其他用途或供应商发生任何违反个人信息保护相关法律法规的行为时，产生的法律纠纷由供应商全部负责，且我行保留进一步追责的权利。</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2.供应商须建立智慧食堂经营风险保障机制，对食堂经营过程中由供应商系统造成的资金损失，全部由供应商赔付。</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3.有完整的售后服务方案供应商所提供的软件平台，对我行智慧食堂使用软件过程中软件部署、实施、维护、服务器等相关配套服务必须免费提供，每个项目提供五年免费升级维护。</w:t>
      </w:r>
    </w:p>
    <w:p>
      <w:pPr>
        <w:spacing w:line="58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4.供应商保证其在提供服务和形成资料的过程中所使用的文件、资料、及其他物品均可合法地不受打扰地用于项目的执行。供应商保证其服务与资料不侵犯任何第三方的知识产权，不存在任何与此相关的争议。如本项目使用方，因使用本项目的服务与资料引起与第三方纠纷、索赔、诉讼等，产生的一切法律责任与费用由供应商承担。</w:t>
      </w:r>
    </w:p>
    <w:p>
      <w:pPr>
        <w:spacing w:line="58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5.退出机制。我部将根据财会部制定的《分行需求（管理）部门供应商履约反馈表》，定期对数字人民币智慧校园项目对接供应商服务行为进行评价打分。供应商是否达标按照承诺需完成的事项进行打分，并将考核结果作为是否继续合作的重要依据。</w:t>
      </w:r>
    </w:p>
    <w:p>
      <w:pPr>
        <w:adjustRightInd w:val="0"/>
        <w:snapToGrid w:val="0"/>
        <w:spacing w:line="58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在服务商考核评价基础上，对考核评价情况不合格或发生违约情况的服务商扣减相应的服务费用，直至退出。对于违反我行行内规章或国家法律法规的；服务商以各种借口拒不履行合作义务，且在我行规定时间内未加改正的；其他严重违背服务承诺行为的，我行将提前终止合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1F"/>
    <w:rsid w:val="000002F0"/>
    <w:rsid w:val="00002191"/>
    <w:rsid w:val="00003F78"/>
    <w:rsid w:val="000043F9"/>
    <w:rsid w:val="00005565"/>
    <w:rsid w:val="00005A1A"/>
    <w:rsid w:val="0000613C"/>
    <w:rsid w:val="000107B3"/>
    <w:rsid w:val="00013CCB"/>
    <w:rsid w:val="0001490C"/>
    <w:rsid w:val="000214E4"/>
    <w:rsid w:val="00024483"/>
    <w:rsid w:val="00024F9C"/>
    <w:rsid w:val="00026282"/>
    <w:rsid w:val="00030126"/>
    <w:rsid w:val="00033B96"/>
    <w:rsid w:val="000346C7"/>
    <w:rsid w:val="000348ED"/>
    <w:rsid w:val="00035E50"/>
    <w:rsid w:val="00040977"/>
    <w:rsid w:val="00041713"/>
    <w:rsid w:val="00042835"/>
    <w:rsid w:val="00042865"/>
    <w:rsid w:val="000513FB"/>
    <w:rsid w:val="0005142A"/>
    <w:rsid w:val="0005325F"/>
    <w:rsid w:val="0005711C"/>
    <w:rsid w:val="00057701"/>
    <w:rsid w:val="0005770D"/>
    <w:rsid w:val="000579AC"/>
    <w:rsid w:val="00060BD6"/>
    <w:rsid w:val="00062C9D"/>
    <w:rsid w:val="00063412"/>
    <w:rsid w:val="000705C1"/>
    <w:rsid w:val="00071526"/>
    <w:rsid w:val="00071528"/>
    <w:rsid w:val="000721E3"/>
    <w:rsid w:val="0007312D"/>
    <w:rsid w:val="00073851"/>
    <w:rsid w:val="00074888"/>
    <w:rsid w:val="00074E11"/>
    <w:rsid w:val="00075520"/>
    <w:rsid w:val="000763CE"/>
    <w:rsid w:val="00077131"/>
    <w:rsid w:val="00077BD7"/>
    <w:rsid w:val="00077F3F"/>
    <w:rsid w:val="00081415"/>
    <w:rsid w:val="0008240F"/>
    <w:rsid w:val="00083C4E"/>
    <w:rsid w:val="00084F0D"/>
    <w:rsid w:val="00092990"/>
    <w:rsid w:val="000939E5"/>
    <w:rsid w:val="000957DF"/>
    <w:rsid w:val="000964ED"/>
    <w:rsid w:val="00096EED"/>
    <w:rsid w:val="00097AC8"/>
    <w:rsid w:val="00097BFF"/>
    <w:rsid w:val="000A05A3"/>
    <w:rsid w:val="000A6F99"/>
    <w:rsid w:val="000A7160"/>
    <w:rsid w:val="000A71E3"/>
    <w:rsid w:val="000A7B0B"/>
    <w:rsid w:val="000B144F"/>
    <w:rsid w:val="000B1D34"/>
    <w:rsid w:val="000B2733"/>
    <w:rsid w:val="000B4084"/>
    <w:rsid w:val="000C2A4B"/>
    <w:rsid w:val="000C5CCC"/>
    <w:rsid w:val="000C65D9"/>
    <w:rsid w:val="000C6900"/>
    <w:rsid w:val="000C7386"/>
    <w:rsid w:val="000D1107"/>
    <w:rsid w:val="000D166E"/>
    <w:rsid w:val="000D1776"/>
    <w:rsid w:val="000D541C"/>
    <w:rsid w:val="000D578F"/>
    <w:rsid w:val="000D6A86"/>
    <w:rsid w:val="000E299B"/>
    <w:rsid w:val="000E2C56"/>
    <w:rsid w:val="000E38BB"/>
    <w:rsid w:val="000E5E10"/>
    <w:rsid w:val="000E7333"/>
    <w:rsid w:val="000F02F7"/>
    <w:rsid w:val="000F0E40"/>
    <w:rsid w:val="000F3326"/>
    <w:rsid w:val="000F5B23"/>
    <w:rsid w:val="000F6A18"/>
    <w:rsid w:val="00100024"/>
    <w:rsid w:val="00101350"/>
    <w:rsid w:val="00101F02"/>
    <w:rsid w:val="001035DD"/>
    <w:rsid w:val="0010611A"/>
    <w:rsid w:val="0010739B"/>
    <w:rsid w:val="00107889"/>
    <w:rsid w:val="00107D5E"/>
    <w:rsid w:val="00111A01"/>
    <w:rsid w:val="001136F7"/>
    <w:rsid w:val="00113C7D"/>
    <w:rsid w:val="00115F79"/>
    <w:rsid w:val="00117400"/>
    <w:rsid w:val="00117419"/>
    <w:rsid w:val="0012069D"/>
    <w:rsid w:val="001208E0"/>
    <w:rsid w:val="001222C1"/>
    <w:rsid w:val="00122756"/>
    <w:rsid w:val="00122F67"/>
    <w:rsid w:val="001231A8"/>
    <w:rsid w:val="001238D6"/>
    <w:rsid w:val="001304DD"/>
    <w:rsid w:val="00137482"/>
    <w:rsid w:val="00137AA3"/>
    <w:rsid w:val="001404CE"/>
    <w:rsid w:val="001408B0"/>
    <w:rsid w:val="00141E40"/>
    <w:rsid w:val="00144A97"/>
    <w:rsid w:val="00146098"/>
    <w:rsid w:val="0015000C"/>
    <w:rsid w:val="00150924"/>
    <w:rsid w:val="00151962"/>
    <w:rsid w:val="00153BC9"/>
    <w:rsid w:val="00153C48"/>
    <w:rsid w:val="00154526"/>
    <w:rsid w:val="00154ED2"/>
    <w:rsid w:val="001550E4"/>
    <w:rsid w:val="001556CA"/>
    <w:rsid w:val="0015585F"/>
    <w:rsid w:val="00156011"/>
    <w:rsid w:val="00156777"/>
    <w:rsid w:val="0016171D"/>
    <w:rsid w:val="00162884"/>
    <w:rsid w:val="00162D7B"/>
    <w:rsid w:val="00164C51"/>
    <w:rsid w:val="00164E9C"/>
    <w:rsid w:val="001671EF"/>
    <w:rsid w:val="001679B2"/>
    <w:rsid w:val="0017171E"/>
    <w:rsid w:val="00175EC4"/>
    <w:rsid w:val="0017669A"/>
    <w:rsid w:val="00176849"/>
    <w:rsid w:val="00177ECD"/>
    <w:rsid w:val="00180F52"/>
    <w:rsid w:val="0018197F"/>
    <w:rsid w:val="001830F2"/>
    <w:rsid w:val="00183674"/>
    <w:rsid w:val="00183AD6"/>
    <w:rsid w:val="001902DD"/>
    <w:rsid w:val="00190D97"/>
    <w:rsid w:val="00191058"/>
    <w:rsid w:val="00191A2A"/>
    <w:rsid w:val="00197151"/>
    <w:rsid w:val="00197E28"/>
    <w:rsid w:val="001A0FD8"/>
    <w:rsid w:val="001A6FBB"/>
    <w:rsid w:val="001A75E3"/>
    <w:rsid w:val="001B08E6"/>
    <w:rsid w:val="001B2A53"/>
    <w:rsid w:val="001B4945"/>
    <w:rsid w:val="001C039E"/>
    <w:rsid w:val="001C1384"/>
    <w:rsid w:val="001C27DF"/>
    <w:rsid w:val="001C3F0E"/>
    <w:rsid w:val="001C5463"/>
    <w:rsid w:val="001C596D"/>
    <w:rsid w:val="001C5FA8"/>
    <w:rsid w:val="001D032D"/>
    <w:rsid w:val="001D2134"/>
    <w:rsid w:val="001D2722"/>
    <w:rsid w:val="001D6BE1"/>
    <w:rsid w:val="001E09B5"/>
    <w:rsid w:val="001E2879"/>
    <w:rsid w:val="001E3869"/>
    <w:rsid w:val="001E40A7"/>
    <w:rsid w:val="001E7A9E"/>
    <w:rsid w:val="001F0B1F"/>
    <w:rsid w:val="001F0BB8"/>
    <w:rsid w:val="001F197D"/>
    <w:rsid w:val="001F3D0A"/>
    <w:rsid w:val="001F475E"/>
    <w:rsid w:val="001F7CE2"/>
    <w:rsid w:val="002004F2"/>
    <w:rsid w:val="00200C34"/>
    <w:rsid w:val="00203CD8"/>
    <w:rsid w:val="002044AF"/>
    <w:rsid w:val="002051C2"/>
    <w:rsid w:val="0020650A"/>
    <w:rsid w:val="00206EA0"/>
    <w:rsid w:val="0021022B"/>
    <w:rsid w:val="00210B07"/>
    <w:rsid w:val="00216FE6"/>
    <w:rsid w:val="00222B2F"/>
    <w:rsid w:val="00222F39"/>
    <w:rsid w:val="00223FCD"/>
    <w:rsid w:val="00224D29"/>
    <w:rsid w:val="0023031D"/>
    <w:rsid w:val="00230B2D"/>
    <w:rsid w:val="0023107F"/>
    <w:rsid w:val="00231905"/>
    <w:rsid w:val="002334ED"/>
    <w:rsid w:val="00234210"/>
    <w:rsid w:val="00235238"/>
    <w:rsid w:val="0023545A"/>
    <w:rsid w:val="002358E8"/>
    <w:rsid w:val="00236721"/>
    <w:rsid w:val="00240678"/>
    <w:rsid w:val="0024122F"/>
    <w:rsid w:val="00241927"/>
    <w:rsid w:val="00245A62"/>
    <w:rsid w:val="0024607F"/>
    <w:rsid w:val="00246A3F"/>
    <w:rsid w:val="00246A4B"/>
    <w:rsid w:val="002471CE"/>
    <w:rsid w:val="002513AF"/>
    <w:rsid w:val="00253683"/>
    <w:rsid w:val="00253C3C"/>
    <w:rsid w:val="00256212"/>
    <w:rsid w:val="002632FB"/>
    <w:rsid w:val="002634FF"/>
    <w:rsid w:val="00267645"/>
    <w:rsid w:val="00267FF3"/>
    <w:rsid w:val="0027185D"/>
    <w:rsid w:val="00272862"/>
    <w:rsid w:val="0027553C"/>
    <w:rsid w:val="00276417"/>
    <w:rsid w:val="002815E5"/>
    <w:rsid w:val="00281F7D"/>
    <w:rsid w:val="002846D0"/>
    <w:rsid w:val="00286A0A"/>
    <w:rsid w:val="00286A6B"/>
    <w:rsid w:val="00292515"/>
    <w:rsid w:val="00293305"/>
    <w:rsid w:val="002953E5"/>
    <w:rsid w:val="002A5614"/>
    <w:rsid w:val="002A6A48"/>
    <w:rsid w:val="002A6C77"/>
    <w:rsid w:val="002A7DEA"/>
    <w:rsid w:val="002B1396"/>
    <w:rsid w:val="002B1728"/>
    <w:rsid w:val="002B346B"/>
    <w:rsid w:val="002B495A"/>
    <w:rsid w:val="002B5030"/>
    <w:rsid w:val="002B68B1"/>
    <w:rsid w:val="002C16FF"/>
    <w:rsid w:val="002C3198"/>
    <w:rsid w:val="002C443C"/>
    <w:rsid w:val="002C493E"/>
    <w:rsid w:val="002C4CC0"/>
    <w:rsid w:val="002C5361"/>
    <w:rsid w:val="002D0212"/>
    <w:rsid w:val="002D1FB3"/>
    <w:rsid w:val="002D6791"/>
    <w:rsid w:val="002D6EBD"/>
    <w:rsid w:val="002D7BCE"/>
    <w:rsid w:val="002E1F16"/>
    <w:rsid w:val="002E3B05"/>
    <w:rsid w:val="002E4B10"/>
    <w:rsid w:val="002E79C7"/>
    <w:rsid w:val="002F0B35"/>
    <w:rsid w:val="002F1992"/>
    <w:rsid w:val="002F1CCD"/>
    <w:rsid w:val="002F2B6C"/>
    <w:rsid w:val="002F3FCA"/>
    <w:rsid w:val="002F4A2E"/>
    <w:rsid w:val="002F67A4"/>
    <w:rsid w:val="002F7DFE"/>
    <w:rsid w:val="00303584"/>
    <w:rsid w:val="0030643A"/>
    <w:rsid w:val="00306704"/>
    <w:rsid w:val="00312E5C"/>
    <w:rsid w:val="0031304B"/>
    <w:rsid w:val="00313491"/>
    <w:rsid w:val="00313931"/>
    <w:rsid w:val="003148E6"/>
    <w:rsid w:val="00314F84"/>
    <w:rsid w:val="0031772C"/>
    <w:rsid w:val="00321DD7"/>
    <w:rsid w:val="00322269"/>
    <w:rsid w:val="00323CEF"/>
    <w:rsid w:val="0032571C"/>
    <w:rsid w:val="00330B5D"/>
    <w:rsid w:val="00332EEC"/>
    <w:rsid w:val="00334662"/>
    <w:rsid w:val="003358BE"/>
    <w:rsid w:val="00336835"/>
    <w:rsid w:val="0034306D"/>
    <w:rsid w:val="00343525"/>
    <w:rsid w:val="003436F1"/>
    <w:rsid w:val="00345756"/>
    <w:rsid w:val="00345DAC"/>
    <w:rsid w:val="00347EA0"/>
    <w:rsid w:val="00350D4D"/>
    <w:rsid w:val="00351597"/>
    <w:rsid w:val="0035203C"/>
    <w:rsid w:val="00353E52"/>
    <w:rsid w:val="00354BAB"/>
    <w:rsid w:val="00355192"/>
    <w:rsid w:val="003566DC"/>
    <w:rsid w:val="00357564"/>
    <w:rsid w:val="00362816"/>
    <w:rsid w:val="0036607B"/>
    <w:rsid w:val="0036611B"/>
    <w:rsid w:val="00371FED"/>
    <w:rsid w:val="003734BE"/>
    <w:rsid w:val="00373E51"/>
    <w:rsid w:val="00373E7E"/>
    <w:rsid w:val="00375069"/>
    <w:rsid w:val="00375222"/>
    <w:rsid w:val="0038035C"/>
    <w:rsid w:val="0038111C"/>
    <w:rsid w:val="00382A94"/>
    <w:rsid w:val="00386CF1"/>
    <w:rsid w:val="003904B2"/>
    <w:rsid w:val="0039086E"/>
    <w:rsid w:val="00392160"/>
    <w:rsid w:val="00392173"/>
    <w:rsid w:val="00392242"/>
    <w:rsid w:val="00393ADC"/>
    <w:rsid w:val="00395178"/>
    <w:rsid w:val="0039533B"/>
    <w:rsid w:val="00395EDC"/>
    <w:rsid w:val="00395F73"/>
    <w:rsid w:val="00397C7C"/>
    <w:rsid w:val="003A07D7"/>
    <w:rsid w:val="003A1B89"/>
    <w:rsid w:val="003A2965"/>
    <w:rsid w:val="003A5B4B"/>
    <w:rsid w:val="003A5DDB"/>
    <w:rsid w:val="003B60D4"/>
    <w:rsid w:val="003C094B"/>
    <w:rsid w:val="003C2144"/>
    <w:rsid w:val="003C564A"/>
    <w:rsid w:val="003C6853"/>
    <w:rsid w:val="003C6F85"/>
    <w:rsid w:val="003C7125"/>
    <w:rsid w:val="003C74DB"/>
    <w:rsid w:val="003C7782"/>
    <w:rsid w:val="003D0E7C"/>
    <w:rsid w:val="003D1FAD"/>
    <w:rsid w:val="003D495B"/>
    <w:rsid w:val="003D6702"/>
    <w:rsid w:val="003D6E09"/>
    <w:rsid w:val="003D706D"/>
    <w:rsid w:val="003D7C6E"/>
    <w:rsid w:val="003D7EBE"/>
    <w:rsid w:val="003E3887"/>
    <w:rsid w:val="003E45C3"/>
    <w:rsid w:val="003F13AF"/>
    <w:rsid w:val="003F1893"/>
    <w:rsid w:val="003F2FF9"/>
    <w:rsid w:val="003F3527"/>
    <w:rsid w:val="003F36EB"/>
    <w:rsid w:val="004015EA"/>
    <w:rsid w:val="004023BA"/>
    <w:rsid w:val="00403DB1"/>
    <w:rsid w:val="004069AA"/>
    <w:rsid w:val="00410BBA"/>
    <w:rsid w:val="00411613"/>
    <w:rsid w:val="00411EE4"/>
    <w:rsid w:val="00412122"/>
    <w:rsid w:val="00412FBA"/>
    <w:rsid w:val="0041578E"/>
    <w:rsid w:val="00421E9D"/>
    <w:rsid w:val="004239FE"/>
    <w:rsid w:val="0042422B"/>
    <w:rsid w:val="00424686"/>
    <w:rsid w:val="004251A3"/>
    <w:rsid w:val="0042551D"/>
    <w:rsid w:val="00426712"/>
    <w:rsid w:val="004339C7"/>
    <w:rsid w:val="00434052"/>
    <w:rsid w:val="00434CF2"/>
    <w:rsid w:val="0043640A"/>
    <w:rsid w:val="004365B3"/>
    <w:rsid w:val="00436710"/>
    <w:rsid w:val="00437F86"/>
    <w:rsid w:val="00440778"/>
    <w:rsid w:val="00440810"/>
    <w:rsid w:val="00441123"/>
    <w:rsid w:val="00442384"/>
    <w:rsid w:val="00444A11"/>
    <w:rsid w:val="004501AB"/>
    <w:rsid w:val="00450DF5"/>
    <w:rsid w:val="00452A91"/>
    <w:rsid w:val="0045373C"/>
    <w:rsid w:val="00455D32"/>
    <w:rsid w:val="00456D34"/>
    <w:rsid w:val="00457711"/>
    <w:rsid w:val="00457994"/>
    <w:rsid w:val="00457D9E"/>
    <w:rsid w:val="00460354"/>
    <w:rsid w:val="004654BF"/>
    <w:rsid w:val="00472B74"/>
    <w:rsid w:val="00475BA3"/>
    <w:rsid w:val="00475DD5"/>
    <w:rsid w:val="00477CA3"/>
    <w:rsid w:val="00477F1B"/>
    <w:rsid w:val="00485419"/>
    <w:rsid w:val="00485662"/>
    <w:rsid w:val="00485A77"/>
    <w:rsid w:val="004865A9"/>
    <w:rsid w:val="00491CBE"/>
    <w:rsid w:val="0049242B"/>
    <w:rsid w:val="00493FE0"/>
    <w:rsid w:val="004A0395"/>
    <w:rsid w:val="004A1BC8"/>
    <w:rsid w:val="004A3968"/>
    <w:rsid w:val="004A4552"/>
    <w:rsid w:val="004A47A9"/>
    <w:rsid w:val="004A6A26"/>
    <w:rsid w:val="004A72BB"/>
    <w:rsid w:val="004B29D6"/>
    <w:rsid w:val="004B6C9D"/>
    <w:rsid w:val="004B7824"/>
    <w:rsid w:val="004C054A"/>
    <w:rsid w:val="004C06DC"/>
    <w:rsid w:val="004C135E"/>
    <w:rsid w:val="004C18E1"/>
    <w:rsid w:val="004C21D0"/>
    <w:rsid w:val="004C39D1"/>
    <w:rsid w:val="004C5BC0"/>
    <w:rsid w:val="004C707D"/>
    <w:rsid w:val="004D26A1"/>
    <w:rsid w:val="004D659A"/>
    <w:rsid w:val="004D65F3"/>
    <w:rsid w:val="004D7CAA"/>
    <w:rsid w:val="004E2145"/>
    <w:rsid w:val="004E57D7"/>
    <w:rsid w:val="004E62A4"/>
    <w:rsid w:val="004E6840"/>
    <w:rsid w:val="004E6ACC"/>
    <w:rsid w:val="004E767F"/>
    <w:rsid w:val="004F03C6"/>
    <w:rsid w:val="004F306B"/>
    <w:rsid w:val="004F3626"/>
    <w:rsid w:val="004F50EE"/>
    <w:rsid w:val="00501021"/>
    <w:rsid w:val="00501158"/>
    <w:rsid w:val="00501888"/>
    <w:rsid w:val="00501C58"/>
    <w:rsid w:val="00502B66"/>
    <w:rsid w:val="0050328C"/>
    <w:rsid w:val="00507CB4"/>
    <w:rsid w:val="005203CB"/>
    <w:rsid w:val="005203DC"/>
    <w:rsid w:val="005210DB"/>
    <w:rsid w:val="005247F5"/>
    <w:rsid w:val="00524FB0"/>
    <w:rsid w:val="0052510E"/>
    <w:rsid w:val="00527D1A"/>
    <w:rsid w:val="00532581"/>
    <w:rsid w:val="005337EF"/>
    <w:rsid w:val="00533AA2"/>
    <w:rsid w:val="005343E0"/>
    <w:rsid w:val="00535559"/>
    <w:rsid w:val="00535D66"/>
    <w:rsid w:val="0053678D"/>
    <w:rsid w:val="00536976"/>
    <w:rsid w:val="00540E53"/>
    <w:rsid w:val="005415AC"/>
    <w:rsid w:val="005415AF"/>
    <w:rsid w:val="00541984"/>
    <w:rsid w:val="00541B86"/>
    <w:rsid w:val="005422DE"/>
    <w:rsid w:val="005429B8"/>
    <w:rsid w:val="00543661"/>
    <w:rsid w:val="00543D16"/>
    <w:rsid w:val="00543F3A"/>
    <w:rsid w:val="0054471D"/>
    <w:rsid w:val="00545691"/>
    <w:rsid w:val="0054624A"/>
    <w:rsid w:val="005513FA"/>
    <w:rsid w:val="00552D90"/>
    <w:rsid w:val="00554A4E"/>
    <w:rsid w:val="00554BA7"/>
    <w:rsid w:val="0055547B"/>
    <w:rsid w:val="00556329"/>
    <w:rsid w:val="00556ED6"/>
    <w:rsid w:val="00560475"/>
    <w:rsid w:val="0056444B"/>
    <w:rsid w:val="00564996"/>
    <w:rsid w:val="00564A5F"/>
    <w:rsid w:val="0056504B"/>
    <w:rsid w:val="005678B2"/>
    <w:rsid w:val="00567FAA"/>
    <w:rsid w:val="005702A6"/>
    <w:rsid w:val="00571EEE"/>
    <w:rsid w:val="0057267A"/>
    <w:rsid w:val="00573176"/>
    <w:rsid w:val="0057489D"/>
    <w:rsid w:val="00575F2D"/>
    <w:rsid w:val="00577A15"/>
    <w:rsid w:val="0058238E"/>
    <w:rsid w:val="0058264C"/>
    <w:rsid w:val="0058294F"/>
    <w:rsid w:val="00582A82"/>
    <w:rsid w:val="00584799"/>
    <w:rsid w:val="00585A97"/>
    <w:rsid w:val="00586E6A"/>
    <w:rsid w:val="00591C96"/>
    <w:rsid w:val="005921FF"/>
    <w:rsid w:val="0059255F"/>
    <w:rsid w:val="005927B4"/>
    <w:rsid w:val="00594D80"/>
    <w:rsid w:val="005969D5"/>
    <w:rsid w:val="005A2479"/>
    <w:rsid w:val="005A249B"/>
    <w:rsid w:val="005A3009"/>
    <w:rsid w:val="005A484C"/>
    <w:rsid w:val="005A492B"/>
    <w:rsid w:val="005A77EE"/>
    <w:rsid w:val="005B10F8"/>
    <w:rsid w:val="005B2494"/>
    <w:rsid w:val="005B2BFB"/>
    <w:rsid w:val="005B34B8"/>
    <w:rsid w:val="005B43ED"/>
    <w:rsid w:val="005B5B38"/>
    <w:rsid w:val="005B5B63"/>
    <w:rsid w:val="005B7156"/>
    <w:rsid w:val="005B72D6"/>
    <w:rsid w:val="005B7C16"/>
    <w:rsid w:val="005C350F"/>
    <w:rsid w:val="005C443D"/>
    <w:rsid w:val="005C5903"/>
    <w:rsid w:val="005D1257"/>
    <w:rsid w:val="005D16DF"/>
    <w:rsid w:val="005D1A04"/>
    <w:rsid w:val="005D1EE7"/>
    <w:rsid w:val="005D3732"/>
    <w:rsid w:val="005D4409"/>
    <w:rsid w:val="005D4883"/>
    <w:rsid w:val="005D4E71"/>
    <w:rsid w:val="005E01CB"/>
    <w:rsid w:val="005E398B"/>
    <w:rsid w:val="005E5537"/>
    <w:rsid w:val="005E77B6"/>
    <w:rsid w:val="005F099B"/>
    <w:rsid w:val="005F2AF6"/>
    <w:rsid w:val="005F2DA1"/>
    <w:rsid w:val="005F70C6"/>
    <w:rsid w:val="005F75FC"/>
    <w:rsid w:val="00600F9A"/>
    <w:rsid w:val="00602A8D"/>
    <w:rsid w:val="00602F21"/>
    <w:rsid w:val="00605D8E"/>
    <w:rsid w:val="006069C4"/>
    <w:rsid w:val="0060705A"/>
    <w:rsid w:val="00607407"/>
    <w:rsid w:val="00610CDE"/>
    <w:rsid w:val="006114D2"/>
    <w:rsid w:val="0061230A"/>
    <w:rsid w:val="00615201"/>
    <w:rsid w:val="00615CDA"/>
    <w:rsid w:val="00616E2B"/>
    <w:rsid w:val="00623731"/>
    <w:rsid w:val="006246AE"/>
    <w:rsid w:val="00624BF2"/>
    <w:rsid w:val="00625DD4"/>
    <w:rsid w:val="00626F7C"/>
    <w:rsid w:val="00631E00"/>
    <w:rsid w:val="006346E4"/>
    <w:rsid w:val="00636AF7"/>
    <w:rsid w:val="006428BB"/>
    <w:rsid w:val="00643FC5"/>
    <w:rsid w:val="006463E5"/>
    <w:rsid w:val="006505C8"/>
    <w:rsid w:val="00650732"/>
    <w:rsid w:val="006520EF"/>
    <w:rsid w:val="00656E6C"/>
    <w:rsid w:val="0066126C"/>
    <w:rsid w:val="00663AAE"/>
    <w:rsid w:val="00664BAC"/>
    <w:rsid w:val="00666191"/>
    <w:rsid w:val="006709C3"/>
    <w:rsid w:val="0067182E"/>
    <w:rsid w:val="00673534"/>
    <w:rsid w:val="0067413C"/>
    <w:rsid w:val="00676678"/>
    <w:rsid w:val="00676CC9"/>
    <w:rsid w:val="006776F2"/>
    <w:rsid w:val="006806A7"/>
    <w:rsid w:val="006812BB"/>
    <w:rsid w:val="006815E3"/>
    <w:rsid w:val="0068194E"/>
    <w:rsid w:val="00682234"/>
    <w:rsid w:val="00683337"/>
    <w:rsid w:val="00683A8A"/>
    <w:rsid w:val="00686E99"/>
    <w:rsid w:val="0069106D"/>
    <w:rsid w:val="006924B5"/>
    <w:rsid w:val="006933FA"/>
    <w:rsid w:val="006959FE"/>
    <w:rsid w:val="00695FB5"/>
    <w:rsid w:val="006A0438"/>
    <w:rsid w:val="006A1EEA"/>
    <w:rsid w:val="006A204F"/>
    <w:rsid w:val="006A44B5"/>
    <w:rsid w:val="006A4E07"/>
    <w:rsid w:val="006A5050"/>
    <w:rsid w:val="006A64B5"/>
    <w:rsid w:val="006A78DA"/>
    <w:rsid w:val="006A7AFF"/>
    <w:rsid w:val="006B2668"/>
    <w:rsid w:val="006B3CB4"/>
    <w:rsid w:val="006B5A95"/>
    <w:rsid w:val="006B6F1E"/>
    <w:rsid w:val="006B7913"/>
    <w:rsid w:val="006C1CBB"/>
    <w:rsid w:val="006C268F"/>
    <w:rsid w:val="006C42A6"/>
    <w:rsid w:val="006C779C"/>
    <w:rsid w:val="006D104C"/>
    <w:rsid w:val="006D4A6E"/>
    <w:rsid w:val="006D55FA"/>
    <w:rsid w:val="006D690E"/>
    <w:rsid w:val="006D7730"/>
    <w:rsid w:val="006E107F"/>
    <w:rsid w:val="006E1784"/>
    <w:rsid w:val="006E49F7"/>
    <w:rsid w:val="006E520F"/>
    <w:rsid w:val="006E623E"/>
    <w:rsid w:val="006E6C9F"/>
    <w:rsid w:val="006E7424"/>
    <w:rsid w:val="006F2D99"/>
    <w:rsid w:val="006F3846"/>
    <w:rsid w:val="006F4779"/>
    <w:rsid w:val="006F4C7F"/>
    <w:rsid w:val="006F4F3F"/>
    <w:rsid w:val="006F77BA"/>
    <w:rsid w:val="006F7C3A"/>
    <w:rsid w:val="0070020A"/>
    <w:rsid w:val="00703423"/>
    <w:rsid w:val="007034F9"/>
    <w:rsid w:val="00706075"/>
    <w:rsid w:val="007060DB"/>
    <w:rsid w:val="0070627C"/>
    <w:rsid w:val="00706353"/>
    <w:rsid w:val="00713451"/>
    <w:rsid w:val="00713DBB"/>
    <w:rsid w:val="007140E4"/>
    <w:rsid w:val="00714542"/>
    <w:rsid w:val="00714C87"/>
    <w:rsid w:val="00714EDD"/>
    <w:rsid w:val="007163D7"/>
    <w:rsid w:val="00716481"/>
    <w:rsid w:val="007210E1"/>
    <w:rsid w:val="00722A85"/>
    <w:rsid w:val="00722B98"/>
    <w:rsid w:val="00723F09"/>
    <w:rsid w:val="0072573E"/>
    <w:rsid w:val="00730DB9"/>
    <w:rsid w:val="00733215"/>
    <w:rsid w:val="00734EB6"/>
    <w:rsid w:val="00735E59"/>
    <w:rsid w:val="007407E9"/>
    <w:rsid w:val="0074089C"/>
    <w:rsid w:val="007428CC"/>
    <w:rsid w:val="00742B47"/>
    <w:rsid w:val="00742F15"/>
    <w:rsid w:val="0074580E"/>
    <w:rsid w:val="00745DA2"/>
    <w:rsid w:val="00750BCB"/>
    <w:rsid w:val="0075125B"/>
    <w:rsid w:val="00752984"/>
    <w:rsid w:val="007531F6"/>
    <w:rsid w:val="007568D5"/>
    <w:rsid w:val="00756D4D"/>
    <w:rsid w:val="007579C2"/>
    <w:rsid w:val="00762853"/>
    <w:rsid w:val="007631D5"/>
    <w:rsid w:val="00766C2A"/>
    <w:rsid w:val="00766E7D"/>
    <w:rsid w:val="00771328"/>
    <w:rsid w:val="00775DEE"/>
    <w:rsid w:val="00776151"/>
    <w:rsid w:val="00782243"/>
    <w:rsid w:val="007837B1"/>
    <w:rsid w:val="007840D4"/>
    <w:rsid w:val="007845FF"/>
    <w:rsid w:val="007854F7"/>
    <w:rsid w:val="00785BBB"/>
    <w:rsid w:val="00786A29"/>
    <w:rsid w:val="00786C5C"/>
    <w:rsid w:val="00790775"/>
    <w:rsid w:val="00790D8F"/>
    <w:rsid w:val="00792D6C"/>
    <w:rsid w:val="00793817"/>
    <w:rsid w:val="00793AF5"/>
    <w:rsid w:val="00793F71"/>
    <w:rsid w:val="007943EA"/>
    <w:rsid w:val="00794484"/>
    <w:rsid w:val="007A6A04"/>
    <w:rsid w:val="007B0FC2"/>
    <w:rsid w:val="007B1682"/>
    <w:rsid w:val="007B1A3D"/>
    <w:rsid w:val="007B1D50"/>
    <w:rsid w:val="007B4964"/>
    <w:rsid w:val="007B5386"/>
    <w:rsid w:val="007B57FC"/>
    <w:rsid w:val="007B781A"/>
    <w:rsid w:val="007C2D90"/>
    <w:rsid w:val="007C3529"/>
    <w:rsid w:val="007C47F0"/>
    <w:rsid w:val="007D1E7C"/>
    <w:rsid w:val="007D518B"/>
    <w:rsid w:val="007D7655"/>
    <w:rsid w:val="007E50B3"/>
    <w:rsid w:val="007E5D87"/>
    <w:rsid w:val="007E60B7"/>
    <w:rsid w:val="007E6A76"/>
    <w:rsid w:val="007E7B7B"/>
    <w:rsid w:val="007F0B37"/>
    <w:rsid w:val="007F4666"/>
    <w:rsid w:val="00802EFE"/>
    <w:rsid w:val="00807340"/>
    <w:rsid w:val="0080763E"/>
    <w:rsid w:val="00813761"/>
    <w:rsid w:val="008150F6"/>
    <w:rsid w:val="008162A0"/>
    <w:rsid w:val="00821DF5"/>
    <w:rsid w:val="00823708"/>
    <w:rsid w:val="0082419C"/>
    <w:rsid w:val="00824E40"/>
    <w:rsid w:val="008253D8"/>
    <w:rsid w:val="00831436"/>
    <w:rsid w:val="00832F15"/>
    <w:rsid w:val="00834F60"/>
    <w:rsid w:val="008360DB"/>
    <w:rsid w:val="00840397"/>
    <w:rsid w:val="008420E7"/>
    <w:rsid w:val="00842818"/>
    <w:rsid w:val="008445DA"/>
    <w:rsid w:val="00844872"/>
    <w:rsid w:val="00844992"/>
    <w:rsid w:val="00845105"/>
    <w:rsid w:val="00851718"/>
    <w:rsid w:val="00852829"/>
    <w:rsid w:val="00853C8E"/>
    <w:rsid w:val="00853F4A"/>
    <w:rsid w:val="008544F0"/>
    <w:rsid w:val="00855552"/>
    <w:rsid w:val="00856F58"/>
    <w:rsid w:val="00856F7C"/>
    <w:rsid w:val="00860C01"/>
    <w:rsid w:val="00862F29"/>
    <w:rsid w:val="00863393"/>
    <w:rsid w:val="00864477"/>
    <w:rsid w:val="00866833"/>
    <w:rsid w:val="00870730"/>
    <w:rsid w:val="008729B4"/>
    <w:rsid w:val="00883DAF"/>
    <w:rsid w:val="00884F4D"/>
    <w:rsid w:val="008876E8"/>
    <w:rsid w:val="00890674"/>
    <w:rsid w:val="008907B9"/>
    <w:rsid w:val="008916DF"/>
    <w:rsid w:val="00892069"/>
    <w:rsid w:val="008930FB"/>
    <w:rsid w:val="00893328"/>
    <w:rsid w:val="00894B17"/>
    <w:rsid w:val="00894CAF"/>
    <w:rsid w:val="008961A6"/>
    <w:rsid w:val="00897ED0"/>
    <w:rsid w:val="008A0A5A"/>
    <w:rsid w:val="008A1331"/>
    <w:rsid w:val="008A5129"/>
    <w:rsid w:val="008A5B60"/>
    <w:rsid w:val="008A6EFC"/>
    <w:rsid w:val="008A75CA"/>
    <w:rsid w:val="008A766F"/>
    <w:rsid w:val="008B107C"/>
    <w:rsid w:val="008B304C"/>
    <w:rsid w:val="008B62BB"/>
    <w:rsid w:val="008C01B4"/>
    <w:rsid w:val="008C37EB"/>
    <w:rsid w:val="008C7028"/>
    <w:rsid w:val="008D0359"/>
    <w:rsid w:val="008D3ED7"/>
    <w:rsid w:val="008D3FB7"/>
    <w:rsid w:val="008D6F0D"/>
    <w:rsid w:val="008E01F2"/>
    <w:rsid w:val="008E42CF"/>
    <w:rsid w:val="008E4A63"/>
    <w:rsid w:val="008E6922"/>
    <w:rsid w:val="008F063B"/>
    <w:rsid w:val="008F0815"/>
    <w:rsid w:val="008F0945"/>
    <w:rsid w:val="008F28FB"/>
    <w:rsid w:val="00901250"/>
    <w:rsid w:val="009014AE"/>
    <w:rsid w:val="0090249E"/>
    <w:rsid w:val="00906751"/>
    <w:rsid w:val="00907FB4"/>
    <w:rsid w:val="00911E10"/>
    <w:rsid w:val="0091419D"/>
    <w:rsid w:val="00915C71"/>
    <w:rsid w:val="009216DF"/>
    <w:rsid w:val="00921724"/>
    <w:rsid w:val="0092262E"/>
    <w:rsid w:val="00925B1F"/>
    <w:rsid w:val="0093132C"/>
    <w:rsid w:val="00932B0A"/>
    <w:rsid w:val="00932F10"/>
    <w:rsid w:val="009346F1"/>
    <w:rsid w:val="00934B57"/>
    <w:rsid w:val="00935E1A"/>
    <w:rsid w:val="00936EE6"/>
    <w:rsid w:val="00937077"/>
    <w:rsid w:val="00941035"/>
    <w:rsid w:val="00941493"/>
    <w:rsid w:val="00943567"/>
    <w:rsid w:val="00944D2F"/>
    <w:rsid w:val="009454EE"/>
    <w:rsid w:val="00946069"/>
    <w:rsid w:val="00950348"/>
    <w:rsid w:val="0095064F"/>
    <w:rsid w:val="0095079A"/>
    <w:rsid w:val="00950AA9"/>
    <w:rsid w:val="009520D9"/>
    <w:rsid w:val="00955DDA"/>
    <w:rsid w:val="00956F7D"/>
    <w:rsid w:val="0096114A"/>
    <w:rsid w:val="00964240"/>
    <w:rsid w:val="00973C89"/>
    <w:rsid w:val="00974804"/>
    <w:rsid w:val="00974C03"/>
    <w:rsid w:val="009753FE"/>
    <w:rsid w:val="00975E48"/>
    <w:rsid w:val="00977754"/>
    <w:rsid w:val="00982807"/>
    <w:rsid w:val="00983A0C"/>
    <w:rsid w:val="00983D89"/>
    <w:rsid w:val="00987A48"/>
    <w:rsid w:val="00990315"/>
    <w:rsid w:val="00992A80"/>
    <w:rsid w:val="00994656"/>
    <w:rsid w:val="00994ECF"/>
    <w:rsid w:val="009957F8"/>
    <w:rsid w:val="009A3ACF"/>
    <w:rsid w:val="009A574C"/>
    <w:rsid w:val="009A5883"/>
    <w:rsid w:val="009A6612"/>
    <w:rsid w:val="009A697A"/>
    <w:rsid w:val="009B089D"/>
    <w:rsid w:val="009B2484"/>
    <w:rsid w:val="009B293F"/>
    <w:rsid w:val="009B2ADD"/>
    <w:rsid w:val="009B6496"/>
    <w:rsid w:val="009C1390"/>
    <w:rsid w:val="009C7E0C"/>
    <w:rsid w:val="009D0156"/>
    <w:rsid w:val="009D0415"/>
    <w:rsid w:val="009D3D4F"/>
    <w:rsid w:val="009D562C"/>
    <w:rsid w:val="009D648F"/>
    <w:rsid w:val="009D78FA"/>
    <w:rsid w:val="009E148C"/>
    <w:rsid w:val="009E29D6"/>
    <w:rsid w:val="009E6D79"/>
    <w:rsid w:val="009E7A47"/>
    <w:rsid w:val="009F21FD"/>
    <w:rsid w:val="009F2389"/>
    <w:rsid w:val="009F4A7D"/>
    <w:rsid w:val="009F6AC8"/>
    <w:rsid w:val="00A0167C"/>
    <w:rsid w:val="00A01AF5"/>
    <w:rsid w:val="00A03141"/>
    <w:rsid w:val="00A04D59"/>
    <w:rsid w:val="00A06640"/>
    <w:rsid w:val="00A0671A"/>
    <w:rsid w:val="00A06EBB"/>
    <w:rsid w:val="00A071D0"/>
    <w:rsid w:val="00A07229"/>
    <w:rsid w:val="00A10F05"/>
    <w:rsid w:val="00A136CE"/>
    <w:rsid w:val="00A1463B"/>
    <w:rsid w:val="00A149BD"/>
    <w:rsid w:val="00A16A92"/>
    <w:rsid w:val="00A208E7"/>
    <w:rsid w:val="00A20C11"/>
    <w:rsid w:val="00A2130B"/>
    <w:rsid w:val="00A219AC"/>
    <w:rsid w:val="00A22463"/>
    <w:rsid w:val="00A23BCD"/>
    <w:rsid w:val="00A244DB"/>
    <w:rsid w:val="00A25C34"/>
    <w:rsid w:val="00A3152E"/>
    <w:rsid w:val="00A33E94"/>
    <w:rsid w:val="00A3465E"/>
    <w:rsid w:val="00A373E4"/>
    <w:rsid w:val="00A373E8"/>
    <w:rsid w:val="00A37DD5"/>
    <w:rsid w:val="00A412D7"/>
    <w:rsid w:val="00A416D0"/>
    <w:rsid w:val="00A41BB0"/>
    <w:rsid w:val="00A438D4"/>
    <w:rsid w:val="00A44C33"/>
    <w:rsid w:val="00A5059A"/>
    <w:rsid w:val="00A507B9"/>
    <w:rsid w:val="00A50A6E"/>
    <w:rsid w:val="00A51291"/>
    <w:rsid w:val="00A634A8"/>
    <w:rsid w:val="00A67463"/>
    <w:rsid w:val="00A70EBE"/>
    <w:rsid w:val="00A73D6F"/>
    <w:rsid w:val="00A74C54"/>
    <w:rsid w:val="00A777F5"/>
    <w:rsid w:val="00A77828"/>
    <w:rsid w:val="00A8635D"/>
    <w:rsid w:val="00A90F48"/>
    <w:rsid w:val="00A92F5E"/>
    <w:rsid w:val="00A932E4"/>
    <w:rsid w:val="00A9359E"/>
    <w:rsid w:val="00AA13CF"/>
    <w:rsid w:val="00AA1630"/>
    <w:rsid w:val="00AA4B0F"/>
    <w:rsid w:val="00AA63FA"/>
    <w:rsid w:val="00AB0D60"/>
    <w:rsid w:val="00AB2A05"/>
    <w:rsid w:val="00AB35D8"/>
    <w:rsid w:val="00AB58F0"/>
    <w:rsid w:val="00AB6BBB"/>
    <w:rsid w:val="00AB7ACC"/>
    <w:rsid w:val="00AC370F"/>
    <w:rsid w:val="00AC3BE2"/>
    <w:rsid w:val="00AC5397"/>
    <w:rsid w:val="00AC53EC"/>
    <w:rsid w:val="00AC729E"/>
    <w:rsid w:val="00AD19DA"/>
    <w:rsid w:val="00AD23A5"/>
    <w:rsid w:val="00AD2D86"/>
    <w:rsid w:val="00AD4925"/>
    <w:rsid w:val="00AD565C"/>
    <w:rsid w:val="00AE0235"/>
    <w:rsid w:val="00AE46E9"/>
    <w:rsid w:val="00AE4BE9"/>
    <w:rsid w:val="00AE501F"/>
    <w:rsid w:val="00AE524B"/>
    <w:rsid w:val="00AE6144"/>
    <w:rsid w:val="00AE7C22"/>
    <w:rsid w:val="00AF113B"/>
    <w:rsid w:val="00AF258C"/>
    <w:rsid w:val="00AF3A0F"/>
    <w:rsid w:val="00AF3B06"/>
    <w:rsid w:val="00AF473D"/>
    <w:rsid w:val="00AF4F4E"/>
    <w:rsid w:val="00AF5EB9"/>
    <w:rsid w:val="00B01E99"/>
    <w:rsid w:val="00B036A8"/>
    <w:rsid w:val="00B06808"/>
    <w:rsid w:val="00B12777"/>
    <w:rsid w:val="00B1283D"/>
    <w:rsid w:val="00B14704"/>
    <w:rsid w:val="00B15C43"/>
    <w:rsid w:val="00B17B84"/>
    <w:rsid w:val="00B26A5C"/>
    <w:rsid w:val="00B26F52"/>
    <w:rsid w:val="00B30ABA"/>
    <w:rsid w:val="00B31F88"/>
    <w:rsid w:val="00B35783"/>
    <w:rsid w:val="00B36566"/>
    <w:rsid w:val="00B428D7"/>
    <w:rsid w:val="00B42934"/>
    <w:rsid w:val="00B46F8F"/>
    <w:rsid w:val="00B51D2D"/>
    <w:rsid w:val="00B53873"/>
    <w:rsid w:val="00B53FA4"/>
    <w:rsid w:val="00B5567F"/>
    <w:rsid w:val="00B61BC3"/>
    <w:rsid w:val="00B62CB6"/>
    <w:rsid w:val="00B65672"/>
    <w:rsid w:val="00B67DD3"/>
    <w:rsid w:val="00B67EAC"/>
    <w:rsid w:val="00B70488"/>
    <w:rsid w:val="00B7094A"/>
    <w:rsid w:val="00B70A08"/>
    <w:rsid w:val="00B70C70"/>
    <w:rsid w:val="00B7557E"/>
    <w:rsid w:val="00B836FF"/>
    <w:rsid w:val="00B83719"/>
    <w:rsid w:val="00B8372C"/>
    <w:rsid w:val="00B84020"/>
    <w:rsid w:val="00B84A35"/>
    <w:rsid w:val="00B8542B"/>
    <w:rsid w:val="00B87A1B"/>
    <w:rsid w:val="00B93152"/>
    <w:rsid w:val="00B93570"/>
    <w:rsid w:val="00B941C8"/>
    <w:rsid w:val="00BA0F73"/>
    <w:rsid w:val="00BA43D9"/>
    <w:rsid w:val="00BA4573"/>
    <w:rsid w:val="00BA5E09"/>
    <w:rsid w:val="00BA653B"/>
    <w:rsid w:val="00BA7E2E"/>
    <w:rsid w:val="00BB2A2A"/>
    <w:rsid w:val="00BB2C25"/>
    <w:rsid w:val="00BB3563"/>
    <w:rsid w:val="00BB513A"/>
    <w:rsid w:val="00BB6A47"/>
    <w:rsid w:val="00BB6D41"/>
    <w:rsid w:val="00BB7AEC"/>
    <w:rsid w:val="00BC19C8"/>
    <w:rsid w:val="00BC38B2"/>
    <w:rsid w:val="00BD15CF"/>
    <w:rsid w:val="00BD33D5"/>
    <w:rsid w:val="00BD5A18"/>
    <w:rsid w:val="00BD5ABD"/>
    <w:rsid w:val="00BD62A5"/>
    <w:rsid w:val="00BD7D70"/>
    <w:rsid w:val="00BE001B"/>
    <w:rsid w:val="00BE2915"/>
    <w:rsid w:val="00BE2CE4"/>
    <w:rsid w:val="00BE313C"/>
    <w:rsid w:val="00BE49C5"/>
    <w:rsid w:val="00BE627E"/>
    <w:rsid w:val="00BE7205"/>
    <w:rsid w:val="00BE7E42"/>
    <w:rsid w:val="00BF16D0"/>
    <w:rsid w:val="00BF42CA"/>
    <w:rsid w:val="00BF4702"/>
    <w:rsid w:val="00C04F3D"/>
    <w:rsid w:val="00C05B93"/>
    <w:rsid w:val="00C062C0"/>
    <w:rsid w:val="00C07848"/>
    <w:rsid w:val="00C11AEF"/>
    <w:rsid w:val="00C13F06"/>
    <w:rsid w:val="00C151F9"/>
    <w:rsid w:val="00C1530F"/>
    <w:rsid w:val="00C16913"/>
    <w:rsid w:val="00C16922"/>
    <w:rsid w:val="00C16C1B"/>
    <w:rsid w:val="00C218AA"/>
    <w:rsid w:val="00C22009"/>
    <w:rsid w:val="00C22AAA"/>
    <w:rsid w:val="00C22B84"/>
    <w:rsid w:val="00C23A6E"/>
    <w:rsid w:val="00C25205"/>
    <w:rsid w:val="00C26E90"/>
    <w:rsid w:val="00C31101"/>
    <w:rsid w:val="00C312CF"/>
    <w:rsid w:val="00C32621"/>
    <w:rsid w:val="00C32A0A"/>
    <w:rsid w:val="00C3411F"/>
    <w:rsid w:val="00C378EF"/>
    <w:rsid w:val="00C37ED2"/>
    <w:rsid w:val="00C41572"/>
    <w:rsid w:val="00C44E80"/>
    <w:rsid w:val="00C51ABA"/>
    <w:rsid w:val="00C53978"/>
    <w:rsid w:val="00C53CDA"/>
    <w:rsid w:val="00C54F48"/>
    <w:rsid w:val="00C55AA4"/>
    <w:rsid w:val="00C56280"/>
    <w:rsid w:val="00C565DE"/>
    <w:rsid w:val="00C5751A"/>
    <w:rsid w:val="00C575A9"/>
    <w:rsid w:val="00C606DB"/>
    <w:rsid w:val="00C60A01"/>
    <w:rsid w:val="00C618CD"/>
    <w:rsid w:val="00C628F4"/>
    <w:rsid w:val="00C6544D"/>
    <w:rsid w:val="00C66402"/>
    <w:rsid w:val="00C66AD4"/>
    <w:rsid w:val="00C66E83"/>
    <w:rsid w:val="00C678AA"/>
    <w:rsid w:val="00C70EF4"/>
    <w:rsid w:val="00C711AB"/>
    <w:rsid w:val="00C7266B"/>
    <w:rsid w:val="00C72A11"/>
    <w:rsid w:val="00C73E6E"/>
    <w:rsid w:val="00C74388"/>
    <w:rsid w:val="00C77183"/>
    <w:rsid w:val="00C80E04"/>
    <w:rsid w:val="00C82396"/>
    <w:rsid w:val="00C82CDC"/>
    <w:rsid w:val="00C82DA3"/>
    <w:rsid w:val="00C8330B"/>
    <w:rsid w:val="00C85AA5"/>
    <w:rsid w:val="00C86DF9"/>
    <w:rsid w:val="00C900F6"/>
    <w:rsid w:val="00C90F3E"/>
    <w:rsid w:val="00C95335"/>
    <w:rsid w:val="00C95B3B"/>
    <w:rsid w:val="00C96CAB"/>
    <w:rsid w:val="00CA3A5A"/>
    <w:rsid w:val="00CA4646"/>
    <w:rsid w:val="00CA50BA"/>
    <w:rsid w:val="00CA540D"/>
    <w:rsid w:val="00CA70E4"/>
    <w:rsid w:val="00CA7876"/>
    <w:rsid w:val="00CB0ABE"/>
    <w:rsid w:val="00CB16F2"/>
    <w:rsid w:val="00CB23A2"/>
    <w:rsid w:val="00CB3818"/>
    <w:rsid w:val="00CB4F3E"/>
    <w:rsid w:val="00CB5361"/>
    <w:rsid w:val="00CB597E"/>
    <w:rsid w:val="00CB6AE3"/>
    <w:rsid w:val="00CB7F03"/>
    <w:rsid w:val="00CC042E"/>
    <w:rsid w:val="00CC3F92"/>
    <w:rsid w:val="00CC5DEA"/>
    <w:rsid w:val="00CC6CB6"/>
    <w:rsid w:val="00CD236E"/>
    <w:rsid w:val="00CD2C5A"/>
    <w:rsid w:val="00CD3A16"/>
    <w:rsid w:val="00CD4464"/>
    <w:rsid w:val="00CD50E3"/>
    <w:rsid w:val="00CD62B4"/>
    <w:rsid w:val="00CE09A4"/>
    <w:rsid w:val="00CE1A37"/>
    <w:rsid w:val="00CE364A"/>
    <w:rsid w:val="00CE3AE7"/>
    <w:rsid w:val="00CE5EA1"/>
    <w:rsid w:val="00CE5FE4"/>
    <w:rsid w:val="00CF035E"/>
    <w:rsid w:val="00CF2AD8"/>
    <w:rsid w:val="00CF32E5"/>
    <w:rsid w:val="00CF3C43"/>
    <w:rsid w:val="00CF3E8E"/>
    <w:rsid w:val="00CF589C"/>
    <w:rsid w:val="00CF6657"/>
    <w:rsid w:val="00D006F1"/>
    <w:rsid w:val="00D01993"/>
    <w:rsid w:val="00D0199B"/>
    <w:rsid w:val="00D03286"/>
    <w:rsid w:val="00D10313"/>
    <w:rsid w:val="00D118DA"/>
    <w:rsid w:val="00D12781"/>
    <w:rsid w:val="00D133C1"/>
    <w:rsid w:val="00D135F9"/>
    <w:rsid w:val="00D226E2"/>
    <w:rsid w:val="00D23FD4"/>
    <w:rsid w:val="00D25F73"/>
    <w:rsid w:val="00D26BD9"/>
    <w:rsid w:val="00D30093"/>
    <w:rsid w:val="00D32855"/>
    <w:rsid w:val="00D32873"/>
    <w:rsid w:val="00D34EEB"/>
    <w:rsid w:val="00D369CF"/>
    <w:rsid w:val="00D403B3"/>
    <w:rsid w:val="00D429B2"/>
    <w:rsid w:val="00D435A8"/>
    <w:rsid w:val="00D46A58"/>
    <w:rsid w:val="00D53E17"/>
    <w:rsid w:val="00D54BE2"/>
    <w:rsid w:val="00D606AE"/>
    <w:rsid w:val="00D62CD6"/>
    <w:rsid w:val="00D66C4B"/>
    <w:rsid w:val="00D66CE2"/>
    <w:rsid w:val="00D671A4"/>
    <w:rsid w:val="00D67CDA"/>
    <w:rsid w:val="00D67DAB"/>
    <w:rsid w:val="00D70A72"/>
    <w:rsid w:val="00D70F14"/>
    <w:rsid w:val="00D71EBD"/>
    <w:rsid w:val="00D729F6"/>
    <w:rsid w:val="00D72C93"/>
    <w:rsid w:val="00D74D1F"/>
    <w:rsid w:val="00D76209"/>
    <w:rsid w:val="00D8159C"/>
    <w:rsid w:val="00D81E25"/>
    <w:rsid w:val="00D81EB0"/>
    <w:rsid w:val="00D82913"/>
    <w:rsid w:val="00D83F63"/>
    <w:rsid w:val="00D84CB8"/>
    <w:rsid w:val="00D87D0A"/>
    <w:rsid w:val="00D87DC8"/>
    <w:rsid w:val="00D928FE"/>
    <w:rsid w:val="00D93BA4"/>
    <w:rsid w:val="00D977E3"/>
    <w:rsid w:val="00D97EA1"/>
    <w:rsid w:val="00DA30C6"/>
    <w:rsid w:val="00DA3E80"/>
    <w:rsid w:val="00DA3F12"/>
    <w:rsid w:val="00DA5013"/>
    <w:rsid w:val="00DA5198"/>
    <w:rsid w:val="00DA5D66"/>
    <w:rsid w:val="00DA7106"/>
    <w:rsid w:val="00DB0C02"/>
    <w:rsid w:val="00DB186E"/>
    <w:rsid w:val="00DB2B88"/>
    <w:rsid w:val="00DB45A0"/>
    <w:rsid w:val="00DB4E18"/>
    <w:rsid w:val="00DB5862"/>
    <w:rsid w:val="00DB5A84"/>
    <w:rsid w:val="00DB71E3"/>
    <w:rsid w:val="00DB7C1D"/>
    <w:rsid w:val="00DC3092"/>
    <w:rsid w:val="00DC3F9E"/>
    <w:rsid w:val="00DC687E"/>
    <w:rsid w:val="00DD7770"/>
    <w:rsid w:val="00DE0FF2"/>
    <w:rsid w:val="00DE11DE"/>
    <w:rsid w:val="00DE316B"/>
    <w:rsid w:val="00DE36B5"/>
    <w:rsid w:val="00DE43E0"/>
    <w:rsid w:val="00DE7AC1"/>
    <w:rsid w:val="00DF4E7C"/>
    <w:rsid w:val="00DF5022"/>
    <w:rsid w:val="00DF6547"/>
    <w:rsid w:val="00E063D6"/>
    <w:rsid w:val="00E06761"/>
    <w:rsid w:val="00E06FFB"/>
    <w:rsid w:val="00E111B6"/>
    <w:rsid w:val="00E12E4C"/>
    <w:rsid w:val="00E143FC"/>
    <w:rsid w:val="00E14A57"/>
    <w:rsid w:val="00E168AA"/>
    <w:rsid w:val="00E168C1"/>
    <w:rsid w:val="00E23E94"/>
    <w:rsid w:val="00E2400E"/>
    <w:rsid w:val="00E31AA6"/>
    <w:rsid w:val="00E3240E"/>
    <w:rsid w:val="00E34D0C"/>
    <w:rsid w:val="00E34D1B"/>
    <w:rsid w:val="00E35795"/>
    <w:rsid w:val="00E3680B"/>
    <w:rsid w:val="00E37034"/>
    <w:rsid w:val="00E37FF8"/>
    <w:rsid w:val="00E41EE1"/>
    <w:rsid w:val="00E43194"/>
    <w:rsid w:val="00E43501"/>
    <w:rsid w:val="00E44E64"/>
    <w:rsid w:val="00E46458"/>
    <w:rsid w:val="00E46F11"/>
    <w:rsid w:val="00E479C1"/>
    <w:rsid w:val="00E47C14"/>
    <w:rsid w:val="00E5051F"/>
    <w:rsid w:val="00E52814"/>
    <w:rsid w:val="00E5287B"/>
    <w:rsid w:val="00E53FC7"/>
    <w:rsid w:val="00E554E9"/>
    <w:rsid w:val="00E56035"/>
    <w:rsid w:val="00E56068"/>
    <w:rsid w:val="00E57F03"/>
    <w:rsid w:val="00E61F94"/>
    <w:rsid w:val="00E620FD"/>
    <w:rsid w:val="00E65085"/>
    <w:rsid w:val="00E657E5"/>
    <w:rsid w:val="00E65A71"/>
    <w:rsid w:val="00E661CF"/>
    <w:rsid w:val="00E668A5"/>
    <w:rsid w:val="00E71C17"/>
    <w:rsid w:val="00E73271"/>
    <w:rsid w:val="00E73519"/>
    <w:rsid w:val="00E73F82"/>
    <w:rsid w:val="00E76A5E"/>
    <w:rsid w:val="00E81CB6"/>
    <w:rsid w:val="00E81E08"/>
    <w:rsid w:val="00E8217A"/>
    <w:rsid w:val="00E83250"/>
    <w:rsid w:val="00E832F5"/>
    <w:rsid w:val="00E836DF"/>
    <w:rsid w:val="00E84161"/>
    <w:rsid w:val="00E8546A"/>
    <w:rsid w:val="00E8691C"/>
    <w:rsid w:val="00E87467"/>
    <w:rsid w:val="00E87742"/>
    <w:rsid w:val="00E91AAA"/>
    <w:rsid w:val="00E95F01"/>
    <w:rsid w:val="00E967CC"/>
    <w:rsid w:val="00E9788E"/>
    <w:rsid w:val="00EA611D"/>
    <w:rsid w:val="00EA7740"/>
    <w:rsid w:val="00EB03B5"/>
    <w:rsid w:val="00EB0752"/>
    <w:rsid w:val="00EB2171"/>
    <w:rsid w:val="00EB4111"/>
    <w:rsid w:val="00ED3480"/>
    <w:rsid w:val="00ED37C3"/>
    <w:rsid w:val="00ED3AB8"/>
    <w:rsid w:val="00ED3F13"/>
    <w:rsid w:val="00ED4169"/>
    <w:rsid w:val="00ED52F8"/>
    <w:rsid w:val="00EE129A"/>
    <w:rsid w:val="00EE1FBE"/>
    <w:rsid w:val="00EE3FFD"/>
    <w:rsid w:val="00EE51DE"/>
    <w:rsid w:val="00EE53B5"/>
    <w:rsid w:val="00EE6CA6"/>
    <w:rsid w:val="00EF2001"/>
    <w:rsid w:val="00EF41C4"/>
    <w:rsid w:val="00EF5046"/>
    <w:rsid w:val="00F00BD9"/>
    <w:rsid w:val="00F011E3"/>
    <w:rsid w:val="00F0322E"/>
    <w:rsid w:val="00F036DB"/>
    <w:rsid w:val="00F05F1E"/>
    <w:rsid w:val="00F0636E"/>
    <w:rsid w:val="00F06B6A"/>
    <w:rsid w:val="00F07254"/>
    <w:rsid w:val="00F0768B"/>
    <w:rsid w:val="00F13ABC"/>
    <w:rsid w:val="00F13BB4"/>
    <w:rsid w:val="00F14655"/>
    <w:rsid w:val="00F1749D"/>
    <w:rsid w:val="00F23FE9"/>
    <w:rsid w:val="00F26CE2"/>
    <w:rsid w:val="00F33BCE"/>
    <w:rsid w:val="00F33C40"/>
    <w:rsid w:val="00F348CB"/>
    <w:rsid w:val="00F353CF"/>
    <w:rsid w:val="00F3560E"/>
    <w:rsid w:val="00F376C9"/>
    <w:rsid w:val="00F419DB"/>
    <w:rsid w:val="00F41DA9"/>
    <w:rsid w:val="00F43F0D"/>
    <w:rsid w:val="00F44ABB"/>
    <w:rsid w:val="00F51226"/>
    <w:rsid w:val="00F5192E"/>
    <w:rsid w:val="00F51E4A"/>
    <w:rsid w:val="00F52018"/>
    <w:rsid w:val="00F540E1"/>
    <w:rsid w:val="00F5539E"/>
    <w:rsid w:val="00F60247"/>
    <w:rsid w:val="00F63423"/>
    <w:rsid w:val="00F64D2E"/>
    <w:rsid w:val="00F64E99"/>
    <w:rsid w:val="00F664FD"/>
    <w:rsid w:val="00F67813"/>
    <w:rsid w:val="00F70869"/>
    <w:rsid w:val="00F70C47"/>
    <w:rsid w:val="00F748F4"/>
    <w:rsid w:val="00F74D63"/>
    <w:rsid w:val="00F81FD4"/>
    <w:rsid w:val="00F83ABA"/>
    <w:rsid w:val="00F84F14"/>
    <w:rsid w:val="00F864D8"/>
    <w:rsid w:val="00F902C0"/>
    <w:rsid w:val="00F905A4"/>
    <w:rsid w:val="00F90990"/>
    <w:rsid w:val="00F946D1"/>
    <w:rsid w:val="00F97854"/>
    <w:rsid w:val="00F97C31"/>
    <w:rsid w:val="00F97FE2"/>
    <w:rsid w:val="00FA1216"/>
    <w:rsid w:val="00FA4E6B"/>
    <w:rsid w:val="00FA6633"/>
    <w:rsid w:val="00FA79A5"/>
    <w:rsid w:val="00FB3E0E"/>
    <w:rsid w:val="00FB3EB6"/>
    <w:rsid w:val="00FB4892"/>
    <w:rsid w:val="00FB7C4F"/>
    <w:rsid w:val="00FC0776"/>
    <w:rsid w:val="00FC3EBB"/>
    <w:rsid w:val="00FC60BA"/>
    <w:rsid w:val="00FC7577"/>
    <w:rsid w:val="00FD109C"/>
    <w:rsid w:val="00FD227E"/>
    <w:rsid w:val="00FD3A7B"/>
    <w:rsid w:val="00FD590E"/>
    <w:rsid w:val="00FE25C2"/>
    <w:rsid w:val="00FE374F"/>
    <w:rsid w:val="00FE45E8"/>
    <w:rsid w:val="00FE52F5"/>
    <w:rsid w:val="00FE6E61"/>
    <w:rsid w:val="00FE721D"/>
    <w:rsid w:val="00FE7B2A"/>
    <w:rsid w:val="00FF1B1F"/>
    <w:rsid w:val="00FF326F"/>
    <w:rsid w:val="00FF4946"/>
    <w:rsid w:val="00FF5062"/>
    <w:rsid w:val="00FF560C"/>
    <w:rsid w:val="00FF61C7"/>
    <w:rsid w:val="02137067"/>
    <w:rsid w:val="07D55DFD"/>
    <w:rsid w:val="12014A98"/>
    <w:rsid w:val="12271A4B"/>
    <w:rsid w:val="12B143D6"/>
    <w:rsid w:val="18D00985"/>
    <w:rsid w:val="1BD163B0"/>
    <w:rsid w:val="2A712A87"/>
    <w:rsid w:val="323A13F3"/>
    <w:rsid w:val="33275610"/>
    <w:rsid w:val="35FB49F3"/>
    <w:rsid w:val="40815A60"/>
    <w:rsid w:val="46905CD0"/>
    <w:rsid w:val="49EA6F97"/>
    <w:rsid w:val="4C675DE6"/>
    <w:rsid w:val="5094295D"/>
    <w:rsid w:val="55F93719"/>
    <w:rsid w:val="5ECB0CF5"/>
    <w:rsid w:val="654650B5"/>
    <w:rsid w:val="666C0F30"/>
    <w:rsid w:val="67264110"/>
    <w:rsid w:val="6B8F567C"/>
    <w:rsid w:val="7366402D"/>
    <w:rsid w:val="738E3B46"/>
    <w:rsid w:val="741C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CB316-FAB8-4B4C-9002-E324D6E5D7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933</Words>
  <Characters>5323</Characters>
  <Lines>44</Lines>
  <Paragraphs>12</Paragraphs>
  <TotalTime>49</TotalTime>
  <ScaleCrop>false</ScaleCrop>
  <LinksUpToDate>false</LinksUpToDate>
  <CharactersWithSpaces>6244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2025-07-22T01:28:00Z</dcterms:created>
  <dc:creator>邢增科</dc:creator>
  <cp:lastModifiedBy>Administrator</cp:lastModifiedBy>
  <dcterms:modified xsi:type="dcterms:W3CDTF">2025-08-12T07:02:25Z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8FE0D6D8D55E46CFB8F0D533B1B95CBE_13</vt:lpwstr>
  </property>
</Properties>
</file>