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FA" w:rsidRDefault="007723C2" w:rsidP="007723C2">
      <w:pPr>
        <w:adjustRightInd w:val="0"/>
        <w:snapToGrid w:val="0"/>
        <w:spacing w:line="360" w:lineRule="auto"/>
        <w:ind w:firstLineChars="200" w:firstLine="602"/>
        <w:jc w:val="center"/>
        <w:rPr>
          <w:rFonts w:ascii="宋体" w:eastAsia="宋体" w:hAnsi="宋体" w:cs="宋体"/>
          <w:b/>
          <w:kern w:val="0"/>
          <w:sz w:val="30"/>
          <w:szCs w:val="30"/>
          <w:lang w:val="zh-CN"/>
        </w:rPr>
      </w:pPr>
      <w:r>
        <w:rPr>
          <w:rFonts w:ascii="宋体" w:eastAsia="宋体" w:hAnsi="宋体" w:cs="宋体" w:hint="eastAsia"/>
          <w:b/>
          <w:kern w:val="0"/>
          <w:sz w:val="30"/>
          <w:szCs w:val="30"/>
          <w:lang w:val="zh-CN"/>
        </w:rPr>
        <w:t>中国</w:t>
      </w:r>
      <w:r>
        <w:rPr>
          <w:rFonts w:ascii="宋体" w:eastAsia="宋体" w:hAnsi="宋体" w:cs="宋体" w:hint="eastAsia"/>
          <w:b/>
          <w:kern w:val="0"/>
          <w:sz w:val="30"/>
          <w:szCs w:val="30"/>
        </w:rPr>
        <w:t>建设</w:t>
      </w:r>
      <w:r>
        <w:rPr>
          <w:rFonts w:ascii="宋体" w:eastAsia="宋体" w:hAnsi="宋体" w:cs="宋体" w:hint="eastAsia"/>
          <w:b/>
          <w:kern w:val="0"/>
          <w:sz w:val="30"/>
          <w:szCs w:val="30"/>
          <w:lang w:val="zh-CN"/>
        </w:rPr>
        <w:t>银行厦门市分行-</w:t>
      </w:r>
      <w:r>
        <w:rPr>
          <w:rFonts w:ascii="宋体" w:eastAsia="宋体" w:hAnsi="宋体" w:cs="宋体" w:hint="eastAsia"/>
          <w:b/>
          <w:kern w:val="0"/>
          <w:sz w:val="30"/>
          <w:szCs w:val="30"/>
        </w:rPr>
        <w:t>厦门安居控股财务共享</w:t>
      </w:r>
      <w:r>
        <w:rPr>
          <w:rFonts w:ascii="宋体" w:eastAsia="宋体" w:hAnsi="宋体" w:cs="宋体" w:hint="eastAsia"/>
          <w:b/>
          <w:kern w:val="0"/>
          <w:sz w:val="30"/>
          <w:szCs w:val="30"/>
          <w:lang w:val="zh-CN"/>
        </w:rPr>
        <w:t>系统</w:t>
      </w:r>
    </w:p>
    <w:p w:rsidR="002966FA" w:rsidRDefault="007723C2" w:rsidP="007723C2">
      <w:pPr>
        <w:adjustRightInd w:val="0"/>
        <w:snapToGrid w:val="0"/>
        <w:spacing w:line="360" w:lineRule="auto"/>
        <w:ind w:firstLineChars="200" w:firstLine="602"/>
        <w:jc w:val="center"/>
        <w:rPr>
          <w:rFonts w:ascii="宋体" w:eastAsia="宋体" w:hAnsi="宋体" w:cs="宋体"/>
          <w:b/>
          <w:kern w:val="0"/>
          <w:sz w:val="30"/>
          <w:szCs w:val="30"/>
        </w:rPr>
      </w:pPr>
      <w:r>
        <w:rPr>
          <w:rFonts w:ascii="宋体" w:eastAsia="宋体" w:hAnsi="宋体" w:cs="宋体" w:hint="eastAsia"/>
          <w:b/>
          <w:kern w:val="0"/>
          <w:sz w:val="30"/>
          <w:szCs w:val="30"/>
          <w:lang w:val="zh-CN"/>
        </w:rPr>
        <w:t>采购项目采购需求说明书</w:t>
      </w:r>
    </w:p>
    <w:p w:rsidR="002966FA" w:rsidRDefault="002966FA" w:rsidP="007723C2">
      <w:pPr>
        <w:adjustRightInd w:val="0"/>
        <w:snapToGrid w:val="0"/>
        <w:spacing w:line="360" w:lineRule="auto"/>
        <w:ind w:firstLineChars="200" w:firstLine="600"/>
        <w:rPr>
          <w:rFonts w:ascii="宋体" w:eastAsia="宋体" w:hAnsi="宋体" w:cs="宋体"/>
          <w:sz w:val="30"/>
          <w:szCs w:val="30"/>
        </w:rPr>
      </w:pPr>
    </w:p>
    <w:p w:rsidR="002966FA" w:rsidRDefault="007723C2" w:rsidP="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项目任务内容、范围</w:t>
      </w:r>
    </w:p>
    <w:p w:rsidR="002966FA" w:rsidRDefault="007723C2" w:rsidP="007723C2">
      <w:pPr>
        <w:adjustRightInd w:val="0"/>
        <w:snapToGrid w:val="0"/>
        <w:spacing w:line="360" w:lineRule="auto"/>
        <w:ind w:left="560"/>
        <w:outlineLvl w:val="1"/>
        <w:rPr>
          <w:rFonts w:ascii="宋体" w:eastAsia="宋体" w:hAnsi="宋体" w:cs="宋体"/>
          <w:b/>
          <w:sz w:val="30"/>
          <w:szCs w:val="30"/>
          <w:lang w:val="zh-CN"/>
        </w:rPr>
      </w:pPr>
      <w:r>
        <w:rPr>
          <w:rFonts w:ascii="宋体" w:eastAsia="宋体" w:hAnsi="宋体" w:cs="宋体" w:hint="eastAsia"/>
          <w:b/>
          <w:sz w:val="30"/>
          <w:szCs w:val="30"/>
          <w:lang w:val="zh-CN"/>
        </w:rPr>
        <w:t>1.1项目目的</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厦门</w:t>
      </w:r>
      <w:r>
        <w:rPr>
          <w:rFonts w:ascii="宋体" w:eastAsia="宋体" w:hAnsi="宋体" w:cs="宋体" w:hint="eastAsia"/>
          <w:sz w:val="30"/>
          <w:szCs w:val="30"/>
        </w:rPr>
        <w:t>安居控股集团</w:t>
      </w:r>
      <w:r>
        <w:rPr>
          <w:rFonts w:ascii="宋体" w:eastAsia="宋体" w:hAnsi="宋体" w:cs="宋体" w:hint="eastAsia"/>
          <w:sz w:val="30"/>
          <w:szCs w:val="30"/>
          <w:lang w:val="zh-CN"/>
        </w:rPr>
        <w:t>有限公司（以下简称“</w:t>
      </w:r>
      <w:r>
        <w:rPr>
          <w:rFonts w:ascii="宋体" w:eastAsia="宋体" w:hAnsi="宋体" w:cs="宋体" w:hint="eastAsia"/>
          <w:sz w:val="30"/>
          <w:szCs w:val="30"/>
        </w:rPr>
        <w:t>安居</w:t>
      </w:r>
      <w:r>
        <w:rPr>
          <w:rFonts w:ascii="宋体" w:eastAsia="宋体" w:hAnsi="宋体" w:cs="宋体" w:hint="eastAsia"/>
          <w:sz w:val="30"/>
          <w:szCs w:val="30"/>
          <w:lang w:val="zh-CN"/>
        </w:rPr>
        <w:t>”）为强化各级管理主体对</w:t>
      </w:r>
      <w:r>
        <w:rPr>
          <w:rFonts w:ascii="宋体" w:eastAsia="宋体" w:hAnsi="宋体" w:cs="宋体" w:hint="eastAsia"/>
          <w:sz w:val="30"/>
          <w:szCs w:val="30"/>
        </w:rPr>
        <w:t>财务和资金</w:t>
      </w:r>
      <w:r>
        <w:rPr>
          <w:rFonts w:ascii="宋体" w:eastAsia="宋体" w:hAnsi="宋体" w:cs="宋体" w:hint="eastAsia"/>
          <w:sz w:val="30"/>
          <w:szCs w:val="30"/>
          <w:lang w:val="zh-CN"/>
        </w:rPr>
        <w:t>的全过程集中管控、全方位统筹运作、全要素分析评价为工作目标，实现对内覆盖集团</w:t>
      </w:r>
      <w:r>
        <w:rPr>
          <w:rFonts w:ascii="宋体" w:eastAsia="宋体" w:hAnsi="宋体" w:cs="宋体" w:hint="eastAsia"/>
          <w:sz w:val="30"/>
          <w:szCs w:val="30"/>
        </w:rPr>
        <w:t>全单位</w:t>
      </w:r>
      <w:r>
        <w:rPr>
          <w:rFonts w:ascii="宋体" w:eastAsia="宋体" w:hAnsi="宋体" w:cs="宋体" w:hint="eastAsia"/>
          <w:sz w:val="30"/>
          <w:szCs w:val="30"/>
          <w:lang w:val="zh-CN"/>
        </w:rPr>
        <w:t>，对外连通金融机构，确保</w:t>
      </w:r>
      <w:r>
        <w:rPr>
          <w:rFonts w:ascii="宋体" w:eastAsia="宋体" w:hAnsi="宋体" w:cs="宋体" w:hint="eastAsia"/>
          <w:sz w:val="30"/>
          <w:szCs w:val="30"/>
        </w:rPr>
        <w:t>财资</w:t>
      </w:r>
      <w:r>
        <w:rPr>
          <w:rFonts w:ascii="宋体" w:eastAsia="宋体" w:hAnsi="宋体" w:cs="宋体" w:hint="eastAsia"/>
          <w:sz w:val="30"/>
          <w:szCs w:val="30"/>
          <w:lang w:val="zh-CN"/>
        </w:rPr>
        <w:t>数据流转实时准确、高效顺畅，消除信息孤岛，实现全过程信息监控和全级次穿透式监管，实现</w:t>
      </w:r>
      <w:r>
        <w:rPr>
          <w:rFonts w:ascii="宋体" w:eastAsia="宋体" w:hAnsi="宋体" w:cs="宋体" w:hint="eastAsia"/>
          <w:sz w:val="30"/>
          <w:szCs w:val="30"/>
        </w:rPr>
        <w:t>财务</w:t>
      </w:r>
      <w:r>
        <w:rPr>
          <w:rFonts w:ascii="宋体" w:eastAsia="宋体" w:hAnsi="宋体" w:cs="宋体" w:hint="eastAsia"/>
          <w:sz w:val="30"/>
          <w:szCs w:val="30"/>
          <w:lang w:val="zh-CN"/>
        </w:rPr>
        <w:t>管理体系化、制度化、规范化、信息化。</w:t>
      </w:r>
    </w:p>
    <w:p w:rsidR="002966FA" w:rsidRDefault="007723C2" w:rsidP="007723C2">
      <w:pPr>
        <w:adjustRightInd w:val="0"/>
        <w:snapToGrid w:val="0"/>
        <w:spacing w:line="360" w:lineRule="auto"/>
        <w:ind w:left="560"/>
        <w:outlineLvl w:val="1"/>
        <w:rPr>
          <w:rFonts w:ascii="宋体" w:eastAsia="宋体" w:hAnsi="宋体" w:cs="宋体"/>
          <w:b/>
          <w:sz w:val="30"/>
          <w:szCs w:val="30"/>
          <w:lang w:val="zh-CN"/>
        </w:rPr>
      </w:pPr>
      <w:r>
        <w:rPr>
          <w:rFonts w:ascii="宋体" w:eastAsia="宋体" w:hAnsi="宋体" w:cs="宋体" w:hint="eastAsia"/>
          <w:b/>
          <w:sz w:val="30"/>
          <w:szCs w:val="30"/>
          <w:lang w:val="zh-CN"/>
        </w:rPr>
        <w:t>1.2项目背景</w:t>
      </w:r>
    </w:p>
    <w:p w:rsidR="002966FA" w:rsidRDefault="007723C2" w:rsidP="007723C2">
      <w:pPr>
        <w:adjustRightInd w:val="0"/>
        <w:snapToGrid w:val="0"/>
        <w:spacing w:line="360" w:lineRule="auto"/>
        <w:ind w:firstLineChars="200" w:firstLine="600"/>
        <w:rPr>
          <w:rFonts w:ascii="宋体" w:eastAsia="宋体" w:hAnsi="宋体" w:cs="宋体"/>
          <w:sz w:val="30"/>
          <w:szCs w:val="30"/>
        </w:rPr>
      </w:pPr>
      <w:r>
        <w:rPr>
          <w:rFonts w:ascii="宋体" w:eastAsia="宋体" w:hAnsi="宋体" w:cs="宋体" w:hint="eastAsia"/>
          <w:sz w:val="30"/>
          <w:szCs w:val="30"/>
          <w:lang w:val="zh-CN"/>
        </w:rPr>
        <w:t>随着人工智能、大数据、云计算、5G移动通信技术的迅猛发展，促进了财务共享中心等数字化、智能化的财务管理方式兴起，业财资税一体化的财务共享中心建设已逐步成为推动企业管理转型升级不可或缺的重要举措。根据财政部《关于全面推进管理会计体系建设的指导意见》（财会[2014]27号）、《会计改革与发展“十三五”规划纲要》（财会[2016]19号）等文件精神，结合集团公司财务管理战略要求，为提升集团公司财务管理工作水平，稳步推进财务管理转型升级战略落地，有效支撑未来集团公司中长期经营发展及管理提升需要，在充分总结试点单位前期建设成果与不足的基础上，加强财务共享中心建设的前瞻性、规划性、经济性，统筹考虑集团管控模式、内控体系架构、财务风险防范、企业数字价值等多方面、多维度、多层面因素，制定</w:t>
      </w:r>
      <w:r>
        <w:rPr>
          <w:rFonts w:ascii="宋体" w:eastAsia="宋体" w:hAnsi="宋体" w:cs="宋体" w:hint="eastAsia"/>
          <w:sz w:val="30"/>
          <w:szCs w:val="30"/>
          <w:lang w:val="zh-CN"/>
        </w:rPr>
        <w:lastRenderedPageBreak/>
        <w:t>《财务共享中心建设总体规划及指导意见》（以下简称“总体规划”）。</w:t>
      </w:r>
    </w:p>
    <w:p w:rsidR="002966FA" w:rsidRDefault="007723C2" w:rsidP="007723C2">
      <w:pPr>
        <w:adjustRightInd w:val="0"/>
        <w:snapToGrid w:val="0"/>
        <w:spacing w:line="360" w:lineRule="auto"/>
        <w:ind w:left="560"/>
        <w:outlineLvl w:val="1"/>
        <w:rPr>
          <w:rFonts w:ascii="宋体" w:eastAsia="宋体" w:hAnsi="宋体" w:cs="宋体"/>
          <w:b/>
          <w:sz w:val="30"/>
          <w:szCs w:val="30"/>
          <w:lang w:val="zh-CN"/>
        </w:rPr>
      </w:pPr>
      <w:r>
        <w:rPr>
          <w:rFonts w:ascii="宋体" w:eastAsia="宋体" w:hAnsi="宋体" w:cs="宋体" w:hint="eastAsia"/>
          <w:b/>
          <w:sz w:val="30"/>
          <w:szCs w:val="30"/>
          <w:lang w:val="zh-CN"/>
        </w:rPr>
        <w:t>1.3业务现状</w:t>
      </w:r>
    </w:p>
    <w:p w:rsidR="002966FA" w:rsidRDefault="007723C2" w:rsidP="007723C2">
      <w:pPr>
        <w:adjustRightInd w:val="0"/>
        <w:snapToGrid w:val="0"/>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当前安居的各</w:t>
      </w:r>
      <w:r>
        <w:rPr>
          <w:rFonts w:ascii="宋体" w:eastAsia="宋体" w:hAnsi="宋体" w:cs="宋体" w:hint="eastAsia"/>
          <w:sz w:val="30"/>
          <w:szCs w:val="30"/>
          <w:lang w:val="zh-CN"/>
        </w:rPr>
        <w:t>业务系统能够较好支持业务数据的输出，但</w:t>
      </w:r>
      <w:r>
        <w:rPr>
          <w:rFonts w:ascii="宋体" w:eastAsia="宋体" w:hAnsi="宋体" w:cs="宋体" w:hint="eastAsia"/>
          <w:sz w:val="30"/>
          <w:szCs w:val="30"/>
        </w:rPr>
        <w:t>与财务系统交互的场景和数据</w:t>
      </w:r>
      <w:r>
        <w:rPr>
          <w:rFonts w:ascii="宋体" w:eastAsia="宋体" w:hAnsi="宋体" w:cs="宋体" w:hint="eastAsia"/>
          <w:sz w:val="30"/>
          <w:szCs w:val="30"/>
          <w:lang w:val="zh-CN"/>
        </w:rPr>
        <w:t>并未完全链接，财务端承接业务数据后的</w:t>
      </w:r>
      <w:r>
        <w:rPr>
          <w:rFonts w:ascii="宋体" w:eastAsia="宋体" w:hAnsi="宋体" w:cs="宋体" w:hint="eastAsia"/>
          <w:sz w:val="30"/>
          <w:szCs w:val="30"/>
        </w:rPr>
        <w:t>账务</w:t>
      </w:r>
      <w:r>
        <w:rPr>
          <w:rFonts w:ascii="宋体" w:eastAsia="宋体" w:hAnsi="宋体" w:cs="宋体" w:hint="eastAsia"/>
          <w:sz w:val="30"/>
          <w:szCs w:val="30"/>
          <w:lang w:val="zh-CN"/>
        </w:rPr>
        <w:t>处理未完全标准化，整体事务性</w:t>
      </w:r>
      <w:r>
        <w:rPr>
          <w:rFonts w:ascii="宋体" w:eastAsia="宋体" w:hAnsi="宋体" w:cs="宋体" w:hint="eastAsia"/>
          <w:sz w:val="30"/>
          <w:szCs w:val="30"/>
        </w:rPr>
        <w:t>和手工工作</w:t>
      </w:r>
      <w:r>
        <w:rPr>
          <w:rFonts w:ascii="宋体" w:eastAsia="宋体" w:hAnsi="宋体" w:cs="宋体" w:hint="eastAsia"/>
          <w:sz w:val="30"/>
          <w:szCs w:val="30"/>
          <w:lang w:val="zh-CN"/>
        </w:rPr>
        <w:t>有</w:t>
      </w:r>
      <w:r>
        <w:rPr>
          <w:rFonts w:ascii="宋体" w:eastAsia="宋体" w:hAnsi="宋体" w:cs="宋体" w:hint="eastAsia"/>
          <w:sz w:val="30"/>
          <w:szCs w:val="30"/>
        </w:rPr>
        <w:t>优化的空间</w:t>
      </w:r>
      <w:r>
        <w:rPr>
          <w:rFonts w:ascii="宋体" w:eastAsia="宋体" w:hAnsi="宋体" w:cs="宋体" w:hint="eastAsia"/>
          <w:sz w:val="30"/>
          <w:szCs w:val="30"/>
          <w:lang w:val="zh-CN"/>
        </w:rPr>
        <w:t>，数据可追溯性和可分析性</w:t>
      </w:r>
      <w:r>
        <w:rPr>
          <w:rFonts w:ascii="宋体" w:eastAsia="宋体" w:hAnsi="宋体" w:cs="宋体" w:hint="eastAsia"/>
          <w:sz w:val="30"/>
          <w:szCs w:val="30"/>
        </w:rPr>
        <w:t>有待加强</w:t>
      </w:r>
      <w:r>
        <w:rPr>
          <w:rFonts w:ascii="宋体" w:eastAsia="宋体" w:hAnsi="宋体" w:cs="宋体" w:hint="eastAsia"/>
          <w:sz w:val="30"/>
          <w:szCs w:val="30"/>
          <w:lang w:val="zh-CN"/>
        </w:rPr>
        <w:t>。随着业务规模</w:t>
      </w:r>
      <w:r>
        <w:rPr>
          <w:rFonts w:ascii="宋体" w:eastAsia="宋体" w:hAnsi="宋体" w:cs="宋体" w:hint="eastAsia"/>
          <w:sz w:val="30"/>
          <w:szCs w:val="30"/>
        </w:rPr>
        <w:t>的横向</w:t>
      </w:r>
      <w:r>
        <w:rPr>
          <w:rFonts w:ascii="宋体" w:eastAsia="宋体" w:hAnsi="宋体" w:cs="宋体" w:hint="eastAsia"/>
          <w:sz w:val="30"/>
          <w:szCs w:val="30"/>
          <w:lang w:val="zh-CN"/>
        </w:rPr>
        <w:t>扩大和</w:t>
      </w:r>
      <w:r>
        <w:rPr>
          <w:rFonts w:ascii="宋体" w:eastAsia="宋体" w:hAnsi="宋体" w:cs="宋体" w:hint="eastAsia"/>
          <w:sz w:val="30"/>
          <w:szCs w:val="30"/>
        </w:rPr>
        <w:t>各业态的纵向</w:t>
      </w:r>
      <w:r>
        <w:rPr>
          <w:rFonts w:ascii="宋体" w:eastAsia="宋体" w:hAnsi="宋体" w:cs="宋体" w:hint="eastAsia"/>
          <w:sz w:val="30"/>
          <w:szCs w:val="30"/>
          <w:lang w:val="zh-CN"/>
        </w:rPr>
        <w:t>发展，传统的</w:t>
      </w:r>
      <w:r>
        <w:rPr>
          <w:rFonts w:ascii="宋体" w:eastAsia="宋体" w:hAnsi="宋体" w:cs="宋体" w:hint="eastAsia"/>
          <w:sz w:val="30"/>
          <w:szCs w:val="30"/>
        </w:rPr>
        <w:t>财务核算</w:t>
      </w:r>
      <w:r>
        <w:rPr>
          <w:rFonts w:ascii="宋体" w:eastAsia="宋体" w:hAnsi="宋体" w:cs="宋体" w:hint="eastAsia"/>
          <w:sz w:val="30"/>
          <w:szCs w:val="30"/>
          <w:lang w:val="zh-CN"/>
        </w:rPr>
        <w:t>模式已无法满足</w:t>
      </w:r>
      <w:r>
        <w:rPr>
          <w:rFonts w:ascii="宋体" w:eastAsia="宋体" w:hAnsi="宋体" w:cs="宋体" w:hint="eastAsia"/>
          <w:sz w:val="30"/>
          <w:szCs w:val="30"/>
        </w:rPr>
        <w:t>安居</w:t>
      </w:r>
      <w:r>
        <w:rPr>
          <w:rFonts w:ascii="宋体" w:eastAsia="宋体" w:hAnsi="宋体" w:cs="宋体" w:hint="eastAsia"/>
          <w:sz w:val="30"/>
          <w:szCs w:val="30"/>
          <w:lang w:val="zh-CN"/>
        </w:rPr>
        <w:t>高效协同、风险防控和战略决策的需求，亟需通过</w:t>
      </w:r>
      <w:r>
        <w:rPr>
          <w:rFonts w:ascii="宋体" w:eastAsia="宋体" w:hAnsi="宋体" w:cs="宋体" w:hint="eastAsia"/>
          <w:sz w:val="30"/>
          <w:szCs w:val="30"/>
        </w:rPr>
        <w:t>更好的财务</w:t>
      </w:r>
      <w:r>
        <w:rPr>
          <w:rFonts w:ascii="宋体" w:eastAsia="宋体" w:hAnsi="宋体" w:cs="宋体" w:hint="eastAsia"/>
          <w:sz w:val="30"/>
          <w:szCs w:val="30"/>
          <w:lang w:val="zh-CN"/>
        </w:rPr>
        <w:t>信息化</w:t>
      </w:r>
      <w:r>
        <w:rPr>
          <w:rFonts w:ascii="宋体" w:eastAsia="宋体" w:hAnsi="宋体" w:cs="宋体" w:hint="eastAsia"/>
          <w:sz w:val="30"/>
          <w:szCs w:val="30"/>
        </w:rPr>
        <w:t>系统</w:t>
      </w:r>
      <w:r>
        <w:rPr>
          <w:rFonts w:ascii="宋体" w:eastAsia="宋体" w:hAnsi="宋体" w:cs="宋体" w:hint="eastAsia"/>
          <w:sz w:val="30"/>
          <w:szCs w:val="30"/>
          <w:lang w:val="zh-CN"/>
        </w:rPr>
        <w:t>实现业务流程标准化、数据可视化和管理智能化，为</w:t>
      </w:r>
      <w:r>
        <w:rPr>
          <w:rFonts w:ascii="宋体" w:eastAsia="宋体" w:hAnsi="宋体" w:cs="宋体" w:hint="eastAsia"/>
          <w:sz w:val="30"/>
          <w:szCs w:val="30"/>
        </w:rPr>
        <w:t>安居</w:t>
      </w:r>
      <w:r>
        <w:rPr>
          <w:rFonts w:ascii="宋体" w:eastAsia="宋体" w:hAnsi="宋体" w:cs="宋体" w:hint="eastAsia"/>
          <w:sz w:val="30"/>
          <w:szCs w:val="30"/>
          <w:lang w:val="zh-CN"/>
        </w:rPr>
        <w:t>的可持续发展提供支撑。</w:t>
      </w:r>
    </w:p>
    <w:p w:rsidR="002966FA" w:rsidRDefault="007723C2" w:rsidP="007723C2">
      <w:pPr>
        <w:adjustRightInd w:val="0"/>
        <w:snapToGrid w:val="0"/>
        <w:spacing w:line="360" w:lineRule="auto"/>
        <w:ind w:left="560"/>
        <w:outlineLvl w:val="1"/>
        <w:rPr>
          <w:rFonts w:ascii="宋体" w:eastAsia="宋体" w:hAnsi="宋体" w:cs="宋体"/>
          <w:b/>
          <w:sz w:val="30"/>
          <w:szCs w:val="30"/>
          <w:lang w:val="zh-CN"/>
        </w:rPr>
      </w:pPr>
      <w:r>
        <w:rPr>
          <w:rFonts w:ascii="宋体" w:eastAsia="宋体" w:hAnsi="宋体" w:cs="宋体" w:hint="eastAsia"/>
          <w:b/>
          <w:sz w:val="30"/>
          <w:szCs w:val="30"/>
          <w:lang w:val="zh-CN"/>
        </w:rPr>
        <w:t>1.4范围概述</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rPr>
        <w:t>厦门安居控股集团有限公司旗下至招标书发出前的存续期公司</w:t>
      </w:r>
      <w:r>
        <w:rPr>
          <w:rFonts w:ascii="宋体" w:eastAsia="宋体" w:hAnsi="宋体" w:cs="宋体" w:hint="eastAsia"/>
          <w:sz w:val="30"/>
          <w:szCs w:val="30"/>
          <w:lang w:val="zh-CN"/>
        </w:rPr>
        <w:t>。</w:t>
      </w:r>
    </w:p>
    <w:p w:rsidR="002966FA" w:rsidRDefault="007723C2" w:rsidP="007723C2">
      <w:pPr>
        <w:adjustRightInd w:val="0"/>
        <w:snapToGrid w:val="0"/>
        <w:spacing w:line="360" w:lineRule="auto"/>
        <w:ind w:left="560"/>
        <w:outlineLvl w:val="1"/>
        <w:rPr>
          <w:rFonts w:ascii="宋体" w:eastAsia="宋体" w:hAnsi="宋体" w:cs="宋体"/>
          <w:b/>
          <w:sz w:val="30"/>
          <w:szCs w:val="30"/>
          <w:lang w:val="zh-CN"/>
        </w:rPr>
      </w:pPr>
      <w:r>
        <w:rPr>
          <w:rFonts w:ascii="宋体" w:eastAsia="宋体" w:hAnsi="宋体" w:cs="宋体" w:hint="eastAsia"/>
          <w:b/>
          <w:sz w:val="30"/>
          <w:szCs w:val="30"/>
          <w:lang w:val="zh-CN"/>
        </w:rPr>
        <w:t>1.5功能范围</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包含本项目内的</w:t>
      </w:r>
      <w:r>
        <w:rPr>
          <w:rFonts w:ascii="宋体" w:eastAsia="宋体" w:hAnsi="宋体" w:cs="宋体" w:hint="eastAsia"/>
          <w:sz w:val="30"/>
          <w:szCs w:val="30"/>
        </w:rPr>
        <w:t>一期功能</w:t>
      </w:r>
      <w:r>
        <w:rPr>
          <w:rFonts w:ascii="宋体" w:eastAsia="宋体" w:hAnsi="宋体" w:cs="宋体" w:hint="eastAsia"/>
          <w:sz w:val="30"/>
          <w:szCs w:val="30"/>
          <w:lang w:val="zh-CN"/>
        </w:rPr>
        <w:t xml:space="preserve">需求。 </w:t>
      </w:r>
    </w:p>
    <w:p w:rsidR="002966FA" w:rsidRDefault="007723C2" w:rsidP="007723C2">
      <w:pPr>
        <w:rPr>
          <w:rFonts w:ascii="宋体" w:eastAsia="宋体" w:hAnsi="宋体" w:cs="宋体"/>
          <w:b/>
          <w:sz w:val="30"/>
          <w:szCs w:val="30"/>
        </w:rPr>
      </w:pPr>
      <w:r>
        <w:rPr>
          <w:rFonts w:ascii="宋体" w:eastAsia="宋体" w:hAnsi="宋体" w:cs="宋体" w:hint="eastAsia"/>
          <w:b/>
          <w:sz w:val="30"/>
          <w:szCs w:val="30"/>
        </w:rPr>
        <w:br w:type="page"/>
      </w:r>
    </w:p>
    <w:p w:rsidR="002966FA" w:rsidRDefault="007723C2" w:rsidP="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lastRenderedPageBreak/>
        <w:t>功能需求</w:t>
      </w:r>
    </w:p>
    <w:p w:rsidR="002966FA" w:rsidRDefault="007723C2" w:rsidP="007723C2">
      <w:pPr>
        <w:adjustRightInd w:val="0"/>
        <w:snapToGrid w:val="0"/>
        <w:spacing w:line="360" w:lineRule="auto"/>
        <w:ind w:firstLineChars="200" w:firstLine="600"/>
        <w:rPr>
          <w:rFonts w:ascii="宋体" w:eastAsia="宋体" w:hAnsi="宋体" w:cs="宋体"/>
          <w:sz w:val="30"/>
          <w:szCs w:val="30"/>
        </w:rPr>
      </w:pPr>
      <w:bookmarkStart w:id="0" w:name="_Toc51857163"/>
      <w:r>
        <w:rPr>
          <w:rFonts w:ascii="宋体" w:eastAsia="宋体" w:hAnsi="宋体" w:cs="宋体" w:hint="eastAsia"/>
          <w:sz w:val="30"/>
          <w:szCs w:val="30"/>
          <w:lang w:val="zh-CN"/>
        </w:rPr>
        <w:t>本次系统项目包含</w:t>
      </w:r>
      <w:r>
        <w:rPr>
          <w:rFonts w:ascii="宋体" w:eastAsia="宋体" w:hAnsi="宋体" w:cs="宋体" w:hint="eastAsia"/>
          <w:sz w:val="30"/>
          <w:szCs w:val="30"/>
        </w:rPr>
        <w:t>高级业务蓝图咨询和系统功能建设。</w:t>
      </w:r>
    </w:p>
    <w:p w:rsidR="002966FA" w:rsidRDefault="007723C2" w:rsidP="007723C2">
      <w:pPr>
        <w:adjustRightInd w:val="0"/>
        <w:snapToGrid w:val="0"/>
        <w:spacing w:line="360" w:lineRule="auto"/>
        <w:ind w:left="560"/>
        <w:outlineLvl w:val="1"/>
        <w:rPr>
          <w:rFonts w:ascii="宋体" w:eastAsia="宋体" w:hAnsi="宋体" w:cs="宋体"/>
          <w:b/>
          <w:sz w:val="30"/>
          <w:szCs w:val="30"/>
        </w:rPr>
      </w:pPr>
      <w:r>
        <w:rPr>
          <w:rFonts w:ascii="宋体" w:eastAsia="宋体" w:hAnsi="宋体" w:cs="宋体" w:hint="eastAsia"/>
          <w:b/>
          <w:sz w:val="30"/>
          <w:szCs w:val="30"/>
        </w:rPr>
        <w:t>2.1. 高级业务蓝图要求</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在项目实施中，双方项目团队协同工作，共同确认、制订出适合甲方企业特点的业务蓝图，落实到甲方的日常业务运作中：</w:t>
      </w:r>
    </w:p>
    <w:p w:rsidR="002966FA" w:rsidRDefault="007723C2" w:rsidP="007723C2">
      <w:pPr>
        <w:numPr>
          <w:ilvl w:val="0"/>
          <w:numId w:val="4"/>
        </w:numPr>
        <w:adjustRightInd w:val="0"/>
        <w:snapToGrid w:val="0"/>
        <w:spacing w:line="360" w:lineRule="auto"/>
        <w:rPr>
          <w:rFonts w:ascii="宋体" w:eastAsia="宋体" w:hAnsi="宋体" w:cs="宋体"/>
          <w:sz w:val="30"/>
          <w:szCs w:val="30"/>
          <w:lang w:val="zh-CN"/>
        </w:rPr>
      </w:pPr>
      <w:r>
        <w:rPr>
          <w:rFonts w:ascii="宋体" w:eastAsia="宋体" w:hAnsi="宋体" w:cs="宋体" w:hint="eastAsia"/>
          <w:sz w:val="30"/>
          <w:szCs w:val="30"/>
          <w:lang w:val="zh-CN"/>
        </w:rPr>
        <w:t>共享高蓝定位</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基于财务共享支撑安居集团发展战略的目标，财务共享高蓝在业务支撑方面，通过</w:t>
      </w:r>
      <w:r>
        <w:rPr>
          <w:rFonts w:ascii="宋体" w:eastAsia="宋体" w:hAnsi="宋体" w:cs="宋体" w:hint="eastAsia"/>
          <w:sz w:val="30"/>
          <w:szCs w:val="30"/>
        </w:rPr>
        <w:t>业财流程和数据处理的</w:t>
      </w:r>
      <w:r>
        <w:rPr>
          <w:rFonts w:ascii="宋体" w:eastAsia="宋体" w:hAnsi="宋体" w:cs="宋体" w:hint="eastAsia"/>
          <w:sz w:val="30"/>
          <w:szCs w:val="30"/>
          <w:lang w:val="zh-CN"/>
        </w:rPr>
        <w:t>优化，帮助</w:t>
      </w:r>
      <w:r>
        <w:rPr>
          <w:rFonts w:ascii="宋体" w:eastAsia="宋体" w:hAnsi="宋体" w:cs="宋体" w:hint="eastAsia"/>
          <w:sz w:val="30"/>
          <w:szCs w:val="30"/>
        </w:rPr>
        <w:t>安居提升财务</w:t>
      </w:r>
      <w:r>
        <w:rPr>
          <w:rFonts w:ascii="宋体" w:eastAsia="宋体" w:hAnsi="宋体" w:cs="宋体" w:hint="eastAsia"/>
          <w:sz w:val="30"/>
          <w:szCs w:val="30"/>
          <w:lang w:val="zh-CN"/>
        </w:rPr>
        <w:t>组织</w:t>
      </w:r>
      <w:r>
        <w:rPr>
          <w:rFonts w:ascii="宋体" w:eastAsia="宋体" w:hAnsi="宋体" w:cs="宋体" w:hint="eastAsia"/>
          <w:sz w:val="30"/>
          <w:szCs w:val="30"/>
        </w:rPr>
        <w:t>的自动化水平</w:t>
      </w:r>
      <w:r>
        <w:rPr>
          <w:rFonts w:ascii="宋体" w:eastAsia="宋体" w:hAnsi="宋体" w:cs="宋体" w:hint="eastAsia"/>
          <w:sz w:val="30"/>
          <w:szCs w:val="30"/>
          <w:lang w:val="zh-CN"/>
        </w:rPr>
        <w:t>，增强财务复制能力；帮助</w:t>
      </w:r>
      <w:r>
        <w:rPr>
          <w:rFonts w:ascii="宋体" w:eastAsia="宋体" w:hAnsi="宋体" w:cs="宋体" w:hint="eastAsia"/>
          <w:sz w:val="30"/>
          <w:szCs w:val="30"/>
        </w:rPr>
        <w:t>安居</w:t>
      </w:r>
      <w:r>
        <w:rPr>
          <w:rFonts w:ascii="宋体" w:eastAsia="宋体" w:hAnsi="宋体" w:cs="宋体" w:hint="eastAsia"/>
          <w:sz w:val="30"/>
          <w:szCs w:val="30"/>
          <w:lang w:val="zh-CN"/>
        </w:rPr>
        <w:t>强化财务组织的风险管控能力，加强财务人员独立性，保证财务数据质量；优化财务组织结构，实现财务管理转变。最终，促使财务共享服务中心成为</w:t>
      </w:r>
      <w:r>
        <w:rPr>
          <w:rFonts w:ascii="宋体" w:eastAsia="宋体" w:hAnsi="宋体" w:cs="宋体" w:hint="eastAsia"/>
          <w:sz w:val="30"/>
          <w:szCs w:val="30"/>
        </w:rPr>
        <w:t>安居</w:t>
      </w:r>
      <w:r>
        <w:rPr>
          <w:rFonts w:ascii="宋体" w:eastAsia="宋体" w:hAnsi="宋体" w:cs="宋体" w:hint="eastAsia"/>
          <w:sz w:val="30"/>
          <w:szCs w:val="30"/>
          <w:lang w:val="zh-CN"/>
        </w:rPr>
        <w:t>的制度、流程优化中心、业务操作中心和</w:t>
      </w:r>
      <w:r>
        <w:rPr>
          <w:rFonts w:ascii="宋体" w:eastAsia="宋体" w:hAnsi="宋体" w:cs="宋体" w:hint="eastAsia"/>
          <w:sz w:val="30"/>
          <w:szCs w:val="30"/>
        </w:rPr>
        <w:t>财务</w:t>
      </w:r>
      <w:r>
        <w:rPr>
          <w:rFonts w:ascii="宋体" w:eastAsia="宋体" w:hAnsi="宋体" w:cs="宋体" w:hint="eastAsia"/>
          <w:sz w:val="30"/>
          <w:szCs w:val="30"/>
          <w:lang w:val="zh-CN"/>
        </w:rPr>
        <w:t>人才培养中心。</w:t>
      </w:r>
    </w:p>
    <w:p w:rsidR="002966FA" w:rsidRDefault="007723C2" w:rsidP="007723C2">
      <w:pPr>
        <w:numPr>
          <w:ilvl w:val="0"/>
          <w:numId w:val="4"/>
        </w:numPr>
        <w:adjustRightInd w:val="0"/>
        <w:snapToGrid w:val="0"/>
        <w:spacing w:line="360" w:lineRule="auto"/>
        <w:rPr>
          <w:rFonts w:ascii="宋体" w:eastAsia="宋体" w:hAnsi="宋体" w:cs="宋体"/>
          <w:sz w:val="30"/>
          <w:szCs w:val="30"/>
          <w:lang w:val="zh-CN"/>
        </w:rPr>
      </w:pPr>
      <w:r>
        <w:rPr>
          <w:rFonts w:ascii="宋体" w:eastAsia="宋体" w:hAnsi="宋体" w:cs="宋体" w:hint="eastAsia"/>
          <w:sz w:val="30"/>
          <w:szCs w:val="30"/>
          <w:lang w:val="zh-CN"/>
        </w:rPr>
        <w:t>业务需求分析</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基于财务共享高蓝的定位和目标，项目初期，</w:t>
      </w:r>
      <w:r>
        <w:rPr>
          <w:rFonts w:ascii="宋体" w:eastAsia="宋体" w:hAnsi="宋体" w:cs="宋体" w:hint="eastAsia"/>
          <w:sz w:val="30"/>
          <w:szCs w:val="30"/>
        </w:rPr>
        <w:t>供应商</w:t>
      </w:r>
      <w:r>
        <w:rPr>
          <w:rFonts w:ascii="宋体" w:eastAsia="宋体" w:hAnsi="宋体" w:cs="宋体" w:hint="eastAsia"/>
          <w:sz w:val="30"/>
          <w:szCs w:val="30"/>
          <w:lang w:val="zh-CN"/>
        </w:rPr>
        <w:t>将通过详细的调研，从</w:t>
      </w:r>
      <w:r>
        <w:rPr>
          <w:rFonts w:ascii="宋体" w:eastAsia="宋体" w:hAnsi="宋体" w:cs="宋体" w:hint="eastAsia"/>
          <w:sz w:val="30"/>
          <w:szCs w:val="30"/>
        </w:rPr>
        <w:t>安居</w:t>
      </w:r>
      <w:r>
        <w:rPr>
          <w:rFonts w:ascii="宋体" w:eastAsia="宋体" w:hAnsi="宋体" w:cs="宋体" w:hint="eastAsia"/>
          <w:sz w:val="30"/>
          <w:szCs w:val="30"/>
          <w:lang w:val="zh-CN"/>
        </w:rPr>
        <w:t>高层到中层到基层，了解企业管理、组织人力、业务流程、信息系统等方面的具体需求，以支撑业务、统一标准、明确职能、提高效率和加强管控为目的，具体分析企业财务管理过程中存在的问题和风险，整理调研报告并进行双方的讨论与修订。</w:t>
      </w:r>
    </w:p>
    <w:p w:rsidR="002966FA" w:rsidRDefault="007723C2" w:rsidP="007723C2">
      <w:pPr>
        <w:numPr>
          <w:ilvl w:val="0"/>
          <w:numId w:val="4"/>
        </w:numPr>
        <w:adjustRightInd w:val="0"/>
        <w:snapToGrid w:val="0"/>
        <w:spacing w:line="360" w:lineRule="auto"/>
        <w:rPr>
          <w:rFonts w:ascii="宋体" w:eastAsia="宋体" w:hAnsi="宋体" w:cs="宋体"/>
          <w:sz w:val="30"/>
          <w:szCs w:val="30"/>
          <w:lang w:val="zh-CN"/>
        </w:rPr>
      </w:pPr>
      <w:r>
        <w:rPr>
          <w:rFonts w:ascii="宋体" w:eastAsia="宋体" w:hAnsi="宋体" w:cs="宋体" w:hint="eastAsia"/>
          <w:sz w:val="30"/>
          <w:szCs w:val="30"/>
          <w:lang w:val="zh-CN"/>
        </w:rPr>
        <w:t>业务蓝图设计</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在对</w:t>
      </w:r>
      <w:r>
        <w:rPr>
          <w:rFonts w:ascii="宋体" w:eastAsia="宋体" w:hAnsi="宋体" w:cs="宋体" w:hint="eastAsia"/>
          <w:sz w:val="30"/>
          <w:szCs w:val="30"/>
        </w:rPr>
        <w:t>安居</w:t>
      </w:r>
      <w:r>
        <w:rPr>
          <w:rFonts w:ascii="宋体" w:eastAsia="宋体" w:hAnsi="宋体" w:cs="宋体" w:hint="eastAsia"/>
          <w:sz w:val="30"/>
          <w:szCs w:val="30"/>
          <w:lang w:val="zh-CN"/>
        </w:rPr>
        <w:t>财务共享业务需求进行了详细了解后，双方项目组成员通过充分研讨，从组织人力及岗位职责定义、流程梳理优化设计、信息系统规划设计以及财务共享中心运营管理体系构建四</w:t>
      </w:r>
      <w:r>
        <w:rPr>
          <w:rFonts w:ascii="宋体" w:eastAsia="宋体" w:hAnsi="宋体" w:cs="宋体" w:hint="eastAsia"/>
          <w:sz w:val="30"/>
          <w:szCs w:val="30"/>
          <w:lang w:val="zh-CN"/>
        </w:rPr>
        <w:lastRenderedPageBreak/>
        <w:t>个方面，共同制订出合理的财务共享业务蓝图，同时对共享系统的集成、共享服务中心平台建设提供解决方案。</w:t>
      </w:r>
    </w:p>
    <w:p w:rsidR="002966FA" w:rsidRDefault="007723C2" w:rsidP="007723C2">
      <w:pPr>
        <w:numPr>
          <w:ilvl w:val="0"/>
          <w:numId w:val="4"/>
        </w:numPr>
        <w:adjustRightInd w:val="0"/>
        <w:snapToGrid w:val="0"/>
        <w:spacing w:line="360" w:lineRule="auto"/>
        <w:rPr>
          <w:rFonts w:ascii="宋体" w:eastAsia="宋体" w:hAnsi="宋体" w:cs="宋体"/>
          <w:sz w:val="30"/>
          <w:szCs w:val="30"/>
          <w:lang w:val="zh-CN"/>
        </w:rPr>
      </w:pPr>
      <w:r>
        <w:rPr>
          <w:rFonts w:ascii="宋体" w:eastAsia="宋体" w:hAnsi="宋体" w:cs="宋体" w:hint="eastAsia"/>
          <w:sz w:val="30"/>
          <w:szCs w:val="30"/>
          <w:lang w:val="zh-CN"/>
        </w:rPr>
        <w:t>业务蓝图的贯彻和实施</w:t>
      </w:r>
    </w:p>
    <w:p w:rsidR="002966FA" w:rsidRDefault="007723C2" w:rsidP="007723C2">
      <w:pPr>
        <w:adjustRightInd w:val="0"/>
        <w:snapToGrid w:val="0"/>
        <w:spacing w:line="360" w:lineRule="auto"/>
        <w:ind w:firstLineChars="200" w:firstLine="600"/>
        <w:rPr>
          <w:rFonts w:ascii="宋体" w:eastAsia="宋体" w:hAnsi="宋体" w:cs="宋体"/>
          <w:b/>
          <w:sz w:val="30"/>
          <w:szCs w:val="30"/>
        </w:rPr>
      </w:pPr>
      <w:r>
        <w:rPr>
          <w:rFonts w:ascii="宋体" w:eastAsia="宋体" w:hAnsi="宋体" w:cs="宋体" w:hint="eastAsia"/>
          <w:sz w:val="30"/>
          <w:szCs w:val="30"/>
          <w:lang w:val="zh-CN"/>
        </w:rPr>
        <w:t>基于高级业务蓝图设计成果，双方共同验证蓝图的可行性，确保其能够适用于</w:t>
      </w:r>
      <w:r>
        <w:rPr>
          <w:rFonts w:ascii="宋体" w:eastAsia="宋体" w:hAnsi="宋体" w:cs="宋体" w:hint="eastAsia"/>
          <w:sz w:val="30"/>
          <w:szCs w:val="30"/>
        </w:rPr>
        <w:t>安居财务团队</w:t>
      </w:r>
      <w:r>
        <w:rPr>
          <w:rFonts w:ascii="宋体" w:eastAsia="宋体" w:hAnsi="宋体" w:cs="宋体" w:hint="eastAsia"/>
          <w:sz w:val="30"/>
          <w:szCs w:val="30"/>
          <w:lang w:val="zh-CN"/>
        </w:rPr>
        <w:t>的实际运作；通过必要的财务共享培训工作，让项目组成员能够充分理解方案和了解未来的业务运作；通过基于现有信息化环境对财务共享系统及业务流程的匹配，指导财务共享信息系统流程的设计与配置以及系统集成开发工作，确保财务共享项目的顺利上线运行。</w:t>
      </w:r>
    </w:p>
    <w:p w:rsidR="002966FA" w:rsidRDefault="007723C2" w:rsidP="007723C2">
      <w:pPr>
        <w:adjustRightInd w:val="0"/>
        <w:snapToGrid w:val="0"/>
        <w:spacing w:line="360" w:lineRule="auto"/>
        <w:ind w:left="560"/>
        <w:outlineLvl w:val="1"/>
        <w:rPr>
          <w:rFonts w:ascii="宋体" w:eastAsia="宋体" w:hAnsi="宋体" w:cs="宋体"/>
          <w:b/>
          <w:sz w:val="30"/>
          <w:szCs w:val="30"/>
        </w:rPr>
      </w:pPr>
      <w:r>
        <w:rPr>
          <w:rFonts w:ascii="宋体" w:eastAsia="宋体" w:hAnsi="宋体" w:cs="宋体" w:hint="eastAsia"/>
          <w:b/>
          <w:sz w:val="30"/>
          <w:szCs w:val="30"/>
        </w:rPr>
        <w:t>2.2. 系统功能</w:t>
      </w:r>
      <w:bookmarkEnd w:id="0"/>
      <w:r>
        <w:rPr>
          <w:rFonts w:ascii="宋体" w:eastAsia="宋体" w:hAnsi="宋体" w:cs="宋体" w:hint="eastAsia"/>
          <w:b/>
          <w:sz w:val="30"/>
          <w:szCs w:val="30"/>
        </w:rPr>
        <w:t>概述</w:t>
      </w:r>
    </w:p>
    <w:tbl>
      <w:tblPr>
        <w:tblW w:w="8326" w:type="dxa"/>
        <w:tblInd w:w="98" w:type="dxa"/>
        <w:tblLayout w:type="fixed"/>
        <w:tblLook w:val="04A0" w:firstRow="1" w:lastRow="0" w:firstColumn="1" w:lastColumn="0" w:noHBand="0" w:noVBand="1"/>
      </w:tblPr>
      <w:tblGrid>
        <w:gridCol w:w="713"/>
        <w:gridCol w:w="763"/>
        <w:gridCol w:w="1262"/>
        <w:gridCol w:w="5588"/>
      </w:tblGrid>
      <w:tr w:rsidR="002966FA">
        <w:trPr>
          <w:trHeight w:val="480"/>
        </w:trPr>
        <w:tc>
          <w:tcPr>
            <w:tcW w:w="713" w:type="dxa"/>
            <w:tcBorders>
              <w:top w:val="single" w:sz="8" w:space="0" w:color="000000"/>
              <w:left w:val="single" w:sz="8" w:space="0" w:color="000000"/>
              <w:bottom w:val="single" w:sz="4" w:space="0" w:color="000000"/>
              <w:right w:val="single" w:sz="4" w:space="0" w:color="000000"/>
            </w:tcBorders>
            <w:shd w:val="clear" w:color="auto" w:fill="92CDDC"/>
            <w:noWrap/>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编号</w:t>
            </w:r>
          </w:p>
        </w:tc>
        <w:tc>
          <w:tcPr>
            <w:tcW w:w="763" w:type="dxa"/>
            <w:tcBorders>
              <w:top w:val="single" w:sz="8" w:space="0" w:color="000000"/>
              <w:left w:val="single" w:sz="4" w:space="0" w:color="000000"/>
              <w:bottom w:val="single" w:sz="4" w:space="0" w:color="000000"/>
              <w:right w:val="single" w:sz="4" w:space="0" w:color="000000"/>
            </w:tcBorders>
            <w:shd w:val="clear" w:color="auto" w:fill="92CDDC"/>
            <w:noWrap/>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分期</w:t>
            </w:r>
          </w:p>
        </w:tc>
        <w:tc>
          <w:tcPr>
            <w:tcW w:w="1262" w:type="dxa"/>
            <w:tcBorders>
              <w:top w:val="single" w:sz="8" w:space="0" w:color="000000"/>
              <w:left w:val="single" w:sz="4" w:space="0" w:color="000000"/>
              <w:bottom w:val="single" w:sz="4" w:space="0" w:color="000000"/>
              <w:right w:val="single" w:sz="4" w:space="0" w:color="000000"/>
            </w:tcBorders>
            <w:shd w:val="clear" w:color="auto" w:fill="92CDDC"/>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工作项目</w:t>
            </w:r>
          </w:p>
        </w:tc>
        <w:tc>
          <w:tcPr>
            <w:tcW w:w="5588" w:type="dxa"/>
            <w:tcBorders>
              <w:top w:val="single" w:sz="8" w:space="0" w:color="000000"/>
              <w:left w:val="single" w:sz="4" w:space="0" w:color="000000"/>
              <w:bottom w:val="single" w:sz="4" w:space="0" w:color="000000"/>
              <w:right w:val="single" w:sz="4" w:space="0" w:color="000000"/>
            </w:tcBorders>
            <w:shd w:val="clear" w:color="auto" w:fill="92CDDC"/>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项目明细</w:t>
            </w:r>
          </w:p>
        </w:tc>
      </w:tr>
      <w:tr w:rsidR="002966FA">
        <w:trPr>
          <w:trHeight w:val="26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1</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vMerge w:val="restart"/>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高级业务蓝图</w:t>
            </w:r>
          </w:p>
        </w:tc>
        <w:tc>
          <w:tcPr>
            <w:tcW w:w="5588" w:type="dxa"/>
            <w:vMerge w:val="restart"/>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Style w:val="font21"/>
                <w:rFonts w:hint="default"/>
                <w:lang w:bidi="ar"/>
              </w:rPr>
              <w:t>在安居财务建设整体规划的基础上，以</w:t>
            </w:r>
            <w:r>
              <w:rPr>
                <w:rStyle w:val="font11"/>
                <w:rFonts w:hint="default"/>
                <w:lang w:bidi="ar"/>
              </w:rPr>
              <w:t>轻咨询</w:t>
            </w:r>
            <w:r>
              <w:rPr>
                <w:rStyle w:val="font21"/>
                <w:rFonts w:hint="default"/>
                <w:lang w:bidi="ar"/>
              </w:rPr>
              <w:t>的方式梳理财务共享涉及各场景，涉及出纳、费用、应收、应付、总账、报表等财务共享流程，以及流程到系统的落地指导。</w:t>
            </w:r>
          </w:p>
        </w:tc>
      </w:tr>
      <w:tr w:rsidR="002966FA">
        <w:trPr>
          <w:trHeight w:val="260"/>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2</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vMerge/>
            <w:tcBorders>
              <w:top w:val="nil"/>
              <w:left w:val="single" w:sz="4" w:space="0" w:color="000000"/>
              <w:bottom w:val="single" w:sz="4" w:space="0" w:color="000000"/>
              <w:right w:val="single" w:sz="4" w:space="0" w:color="000000"/>
            </w:tcBorders>
            <w:shd w:val="clear" w:color="auto" w:fill="auto"/>
            <w:vAlign w:val="center"/>
          </w:tcPr>
          <w:p w:rsidR="002966FA" w:rsidRDefault="002966FA" w:rsidP="007723C2">
            <w:pPr>
              <w:jc w:val="center"/>
              <w:rPr>
                <w:rFonts w:ascii="宋体" w:eastAsia="宋体" w:hAnsi="宋体" w:cs="宋体"/>
                <w:b/>
                <w:bCs/>
                <w:color w:val="000000"/>
                <w:sz w:val="18"/>
                <w:szCs w:val="18"/>
              </w:rPr>
            </w:pPr>
          </w:p>
        </w:tc>
        <w:tc>
          <w:tcPr>
            <w:tcW w:w="5588" w:type="dxa"/>
            <w:vMerge/>
            <w:tcBorders>
              <w:top w:val="nil"/>
              <w:left w:val="single" w:sz="4" w:space="0" w:color="000000"/>
              <w:bottom w:val="single" w:sz="4" w:space="0" w:color="000000"/>
              <w:right w:val="single" w:sz="4" w:space="0" w:color="000000"/>
            </w:tcBorders>
            <w:shd w:val="clear" w:color="auto" w:fill="auto"/>
            <w:vAlign w:val="center"/>
          </w:tcPr>
          <w:p w:rsidR="002966FA" w:rsidRDefault="002966FA" w:rsidP="007723C2">
            <w:pPr>
              <w:jc w:val="left"/>
              <w:rPr>
                <w:rFonts w:ascii="宋体" w:eastAsia="宋体" w:hAnsi="宋体" w:cs="宋体"/>
                <w:color w:val="000000"/>
                <w:sz w:val="18"/>
                <w:szCs w:val="18"/>
              </w:rPr>
            </w:pPr>
          </w:p>
        </w:tc>
      </w:tr>
      <w:tr w:rsidR="002966FA">
        <w:trPr>
          <w:trHeight w:val="168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3</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出纳共享</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b/>
                <w:bCs/>
                <w:color w:val="000000"/>
                <w:sz w:val="18"/>
                <w:szCs w:val="18"/>
              </w:rPr>
            </w:pPr>
            <w:r>
              <w:rPr>
                <w:rStyle w:val="font11"/>
                <w:rFonts w:hint="default"/>
                <w:lang w:bidi="ar"/>
              </w:rPr>
              <w:t>实施：</w:t>
            </w:r>
            <w:r>
              <w:rPr>
                <w:rStyle w:val="font21"/>
                <w:rFonts w:hint="default"/>
                <w:lang w:bidi="ar"/>
              </w:rPr>
              <w:br/>
              <w:t>（1）基础资料收集：付款单、收款单相关的审批流人员名单、人员权限收集和配置。</w:t>
            </w:r>
            <w:r>
              <w:rPr>
                <w:rStyle w:val="font21"/>
                <w:rFonts w:hint="default"/>
                <w:lang w:bidi="ar"/>
              </w:rPr>
              <w:br/>
              <w:t>（2）实施配置：付款单、收款单相关的用户权限设置、共享任务角色配置、任务分配设置、共享流程配置（付款、收款流程统一各1条）、审批界面配置。</w:t>
            </w:r>
            <w:r>
              <w:rPr>
                <w:rStyle w:val="font21"/>
                <w:rFonts w:hint="default"/>
                <w:lang w:bidi="ar"/>
              </w:rPr>
              <w:br/>
              <w:t>（3）上线支持：操作手册编写、上线培训、上线运维。</w:t>
            </w:r>
            <w:r>
              <w:rPr>
                <w:rStyle w:val="font21"/>
                <w:rFonts w:hint="default"/>
                <w:lang w:bidi="ar"/>
              </w:rPr>
              <w:br/>
            </w:r>
            <w:r>
              <w:rPr>
                <w:rStyle w:val="font11"/>
                <w:rFonts w:hint="default"/>
                <w:lang w:bidi="ar"/>
              </w:rPr>
              <w:t>开发：</w:t>
            </w:r>
            <w:r>
              <w:rPr>
                <w:rStyle w:val="font21"/>
                <w:rFonts w:hint="default"/>
                <w:lang w:bidi="ar"/>
              </w:rPr>
              <w:br/>
              <w:t>（1）收款工单、付款工单与前端系统对接（2个接口）。</w:t>
            </w:r>
          </w:p>
        </w:tc>
      </w:tr>
      <w:tr w:rsidR="002966FA">
        <w:trPr>
          <w:trHeight w:val="1440"/>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4</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费用共享</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b/>
                <w:bCs/>
                <w:color w:val="000000"/>
                <w:sz w:val="18"/>
                <w:szCs w:val="18"/>
              </w:rPr>
            </w:pPr>
            <w:r>
              <w:rPr>
                <w:rStyle w:val="font31"/>
                <w:rFonts w:hint="default"/>
                <w:lang w:bidi="ar"/>
              </w:rPr>
              <w:t>方案简述：</w:t>
            </w:r>
            <w:r>
              <w:rPr>
                <w:rStyle w:val="font41"/>
                <w:rFonts w:hint="default"/>
                <w:lang w:bidi="ar"/>
              </w:rPr>
              <w:t>蓝凌发起费用报销单、通过接口进共享审批，共享流程配置。</w:t>
            </w:r>
            <w:r>
              <w:rPr>
                <w:rStyle w:val="font41"/>
                <w:rFonts w:hint="default"/>
                <w:lang w:bidi="ar"/>
              </w:rPr>
              <w:br/>
            </w:r>
            <w:r>
              <w:rPr>
                <w:rStyle w:val="font31"/>
                <w:rFonts w:hint="default"/>
                <w:lang w:bidi="ar"/>
              </w:rPr>
              <w:t>OA改造：</w:t>
            </w:r>
            <w:r>
              <w:rPr>
                <w:rStyle w:val="font41"/>
                <w:rFonts w:hint="default"/>
                <w:lang w:bidi="ar"/>
              </w:rPr>
              <w:t>可能涉及OA单据（借款单、个人通讯费报销单、差旅报销、公车报销、业务招待报销、培训费报销、其它行政报销、无合同业务支付单、合同付款单）进入共享审批，根据高级业务蓝图的结果，可能涉及到OA的流程和权限调整工作量。</w:t>
            </w:r>
            <w:r>
              <w:rPr>
                <w:rStyle w:val="font41"/>
                <w:rFonts w:hint="default"/>
                <w:lang w:bidi="ar"/>
              </w:rPr>
              <w:br/>
            </w:r>
            <w:r>
              <w:rPr>
                <w:rStyle w:val="font31"/>
                <w:rFonts w:hint="default"/>
                <w:lang w:bidi="ar"/>
              </w:rPr>
              <w:t>金蝶实施：</w:t>
            </w:r>
            <w:r>
              <w:rPr>
                <w:rStyle w:val="font41"/>
                <w:rFonts w:hint="default"/>
                <w:lang w:bidi="ar"/>
              </w:rPr>
              <w:t>到</w:t>
            </w:r>
            <w:proofErr w:type="spellStart"/>
            <w:r>
              <w:rPr>
                <w:rStyle w:val="font41"/>
                <w:rFonts w:hint="default"/>
                <w:lang w:bidi="ar"/>
              </w:rPr>
              <w:t>eas</w:t>
            </w:r>
            <w:proofErr w:type="spellEnd"/>
            <w:r>
              <w:rPr>
                <w:rStyle w:val="font41"/>
                <w:rFonts w:hint="default"/>
                <w:lang w:bidi="ar"/>
              </w:rPr>
              <w:t>之后需要做费用场景的整合，进入出纳付款单，OA到金蝶EAS的接口已完成。但基于高级业务蓝图可能涉及出纳付款单的改造。</w:t>
            </w:r>
          </w:p>
        </w:tc>
      </w:tr>
      <w:tr w:rsidR="002966FA">
        <w:trPr>
          <w:trHeight w:val="72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5</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银行账户管理</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Style w:val="font41"/>
                <w:rFonts w:hint="default"/>
                <w:lang w:bidi="ar"/>
              </w:rPr>
              <w:t>取消原来OA的开户申请，启用金蝶标准的</w:t>
            </w:r>
            <w:r>
              <w:rPr>
                <w:rStyle w:val="font31"/>
                <w:rFonts w:hint="default"/>
                <w:lang w:bidi="ar"/>
              </w:rPr>
              <w:t>开户申请单</w:t>
            </w:r>
            <w:r>
              <w:rPr>
                <w:rStyle w:val="font41"/>
                <w:rFonts w:hint="default"/>
                <w:lang w:bidi="ar"/>
              </w:rPr>
              <w:t>。涉及权限、审批流配置（按公司）</w:t>
            </w:r>
          </w:p>
        </w:tc>
      </w:tr>
      <w:tr w:rsidR="002966FA">
        <w:trPr>
          <w:trHeight w:val="380"/>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lastRenderedPageBreak/>
              <w:t>6</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资金管理</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Style w:val="font21"/>
                <w:rFonts w:hint="default"/>
                <w:lang w:bidi="ar"/>
              </w:rPr>
              <w:t>标准模块</w:t>
            </w:r>
            <w:r>
              <w:rPr>
                <w:rStyle w:val="font11"/>
                <w:rFonts w:hint="default"/>
                <w:lang w:bidi="ar"/>
              </w:rPr>
              <w:t>投融资、内部借款、资金划拨，安居已经实施完成</w:t>
            </w:r>
            <w:r>
              <w:rPr>
                <w:rStyle w:val="font21"/>
                <w:rFonts w:hint="default"/>
                <w:lang w:bidi="ar"/>
              </w:rPr>
              <w:t>。</w:t>
            </w:r>
          </w:p>
        </w:tc>
      </w:tr>
      <w:tr w:rsidR="002966FA">
        <w:trPr>
          <w:trHeight w:val="82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7</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2966FA" w:rsidP="007723C2">
            <w:pPr>
              <w:jc w:val="center"/>
              <w:rPr>
                <w:rFonts w:ascii="宋体" w:eastAsia="宋体" w:hAnsi="宋体" w:cs="宋体"/>
                <w:b/>
                <w:bCs/>
                <w:color w:val="000000"/>
                <w:sz w:val="18"/>
                <w:szCs w:val="18"/>
              </w:rPr>
            </w:pP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Style w:val="font41"/>
                <w:rFonts w:hint="default"/>
                <w:lang w:bidi="ar"/>
              </w:rPr>
              <w:t>需要实施资金计划，资金计划对接业务系统（从系统取数，一部分是应收系统取数，一部分是从明源系统对接取数</w:t>
            </w:r>
            <w:r>
              <w:rPr>
                <w:rStyle w:val="font61"/>
                <w:rFonts w:hint="default"/>
                <w:lang w:bidi="ar"/>
              </w:rPr>
              <w:t>）</w:t>
            </w:r>
            <w:r>
              <w:rPr>
                <w:rStyle w:val="font41"/>
                <w:rFonts w:hint="default"/>
                <w:lang w:bidi="ar"/>
              </w:rPr>
              <w:t>，拉通</w:t>
            </w:r>
            <w:r>
              <w:rPr>
                <w:rStyle w:val="font31"/>
                <w:rFonts w:hint="default"/>
                <w:lang w:bidi="ar"/>
              </w:rPr>
              <w:t>资金排款→款项划拨→款项支付流程</w:t>
            </w:r>
            <w:r>
              <w:rPr>
                <w:rStyle w:val="font41"/>
                <w:rFonts w:hint="default"/>
                <w:lang w:bidi="ar"/>
              </w:rPr>
              <w:t>。其中资金计划不仅包含业务排款，系统应收工单自动获取资金计划，还包含投融资预排款项、内部借款等。</w:t>
            </w:r>
          </w:p>
        </w:tc>
      </w:tr>
      <w:tr w:rsidR="002966FA">
        <w:trPr>
          <w:trHeight w:val="340"/>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8</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2966FA" w:rsidP="007723C2">
            <w:pPr>
              <w:jc w:val="center"/>
              <w:rPr>
                <w:rFonts w:ascii="宋体" w:eastAsia="宋体" w:hAnsi="宋体" w:cs="宋体"/>
                <w:b/>
                <w:bCs/>
                <w:color w:val="000000"/>
                <w:sz w:val="18"/>
                <w:szCs w:val="18"/>
              </w:rPr>
            </w:pP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Style w:val="font41"/>
                <w:rFonts w:hint="default"/>
                <w:lang w:bidi="ar"/>
              </w:rPr>
              <w:t>金蝶根据项目经验，提供资金轻分析看板的</w:t>
            </w:r>
            <w:r>
              <w:rPr>
                <w:rStyle w:val="font31"/>
                <w:rFonts w:hint="default"/>
                <w:lang w:bidi="ar"/>
              </w:rPr>
              <w:t>指标建议和培训</w:t>
            </w:r>
            <w:r>
              <w:rPr>
                <w:rStyle w:val="font41"/>
                <w:rFonts w:hint="default"/>
                <w:lang w:bidi="ar"/>
              </w:rPr>
              <w:t>，配合安居进行配置和测试。</w:t>
            </w:r>
          </w:p>
        </w:tc>
      </w:tr>
      <w:tr w:rsidR="002966FA">
        <w:trPr>
          <w:trHeight w:val="48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9</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航信发票对接</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对接航信票池，获取结构化数据。</w:t>
            </w:r>
          </w:p>
        </w:tc>
      </w:tr>
      <w:tr w:rsidR="002966FA">
        <w:trPr>
          <w:trHeight w:val="780"/>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10</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附件接口</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对接前端业务系统的影像到EAS共享平台，包含业务单据、发票及附件等信息，并支持联查。</w:t>
            </w:r>
          </w:p>
        </w:tc>
      </w:tr>
      <w:tr w:rsidR="002966FA">
        <w:trPr>
          <w:trHeight w:val="520"/>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11</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影像接口</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共享工单同步业务附件到影像系统。</w:t>
            </w:r>
          </w:p>
        </w:tc>
      </w:tr>
      <w:tr w:rsidR="002966FA">
        <w:trPr>
          <w:trHeight w:val="664"/>
        </w:trPr>
        <w:tc>
          <w:tcPr>
            <w:tcW w:w="713" w:type="dxa"/>
            <w:tcBorders>
              <w:top w:val="single" w:sz="4" w:space="0" w:color="000000"/>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12</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其他</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开发：明源和 OA摘要没有自动带到金蝶 EAS;属于系统对接问题，需要实际技术进场对接排查</w:t>
            </w:r>
          </w:p>
        </w:tc>
      </w:tr>
      <w:tr w:rsidR="002966FA">
        <w:trPr>
          <w:trHeight w:val="492"/>
        </w:trPr>
        <w:tc>
          <w:tcPr>
            <w:tcW w:w="713" w:type="dxa"/>
            <w:tcBorders>
              <w:top w:val="nil"/>
              <w:left w:val="single" w:sz="8"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13</w:t>
            </w:r>
          </w:p>
        </w:tc>
        <w:tc>
          <w:tcPr>
            <w:tcW w:w="763" w:type="dxa"/>
            <w:tcBorders>
              <w:top w:val="nil"/>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一期</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66FA" w:rsidRDefault="007723C2" w:rsidP="007723C2">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其他</w:t>
            </w:r>
          </w:p>
        </w:tc>
        <w:tc>
          <w:tcPr>
            <w:tcW w:w="5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6FA" w:rsidRDefault="007723C2" w:rsidP="007723C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实施：OA 费用项目和金蝶预算项目的映射需要重新梳理</w:t>
            </w:r>
          </w:p>
        </w:tc>
      </w:tr>
    </w:tbl>
    <w:p w:rsidR="002966FA" w:rsidRDefault="002966FA" w:rsidP="007723C2">
      <w:pPr>
        <w:adjustRightInd w:val="0"/>
        <w:snapToGrid w:val="0"/>
        <w:spacing w:line="360" w:lineRule="auto"/>
        <w:ind w:firstLineChars="200" w:firstLine="602"/>
        <w:rPr>
          <w:rFonts w:ascii="宋体" w:eastAsia="宋体" w:hAnsi="宋体" w:cs="宋体"/>
          <w:b/>
          <w:sz w:val="30"/>
          <w:szCs w:val="30"/>
          <w:lang w:val="zh-CN"/>
        </w:rPr>
      </w:pPr>
    </w:p>
    <w:p w:rsidR="002966FA" w:rsidRDefault="007723C2" w:rsidP="007723C2">
      <w:pPr>
        <w:adjustRightInd w:val="0"/>
        <w:snapToGrid w:val="0"/>
        <w:spacing w:line="360" w:lineRule="auto"/>
        <w:ind w:left="560"/>
        <w:outlineLvl w:val="1"/>
        <w:rPr>
          <w:rFonts w:ascii="宋体" w:eastAsia="宋体" w:hAnsi="宋体" w:cs="宋体"/>
          <w:b/>
          <w:sz w:val="30"/>
          <w:szCs w:val="30"/>
        </w:rPr>
      </w:pPr>
      <w:r>
        <w:rPr>
          <w:rFonts w:ascii="宋体" w:eastAsia="宋体" w:hAnsi="宋体" w:cs="宋体" w:hint="eastAsia"/>
          <w:b/>
          <w:sz w:val="30"/>
          <w:szCs w:val="30"/>
        </w:rPr>
        <w:t>2.2. 重点功能要求说明</w:t>
      </w:r>
    </w:p>
    <w:p w:rsidR="002966FA" w:rsidRDefault="007723C2" w:rsidP="007723C2">
      <w:pPr>
        <w:adjustRightInd w:val="0"/>
        <w:snapToGrid w:val="0"/>
        <w:spacing w:line="360" w:lineRule="auto"/>
        <w:ind w:left="560"/>
        <w:outlineLvl w:val="2"/>
        <w:rPr>
          <w:rFonts w:ascii="宋体" w:eastAsia="宋体" w:hAnsi="宋体" w:cs="宋体"/>
          <w:b/>
          <w:sz w:val="30"/>
          <w:szCs w:val="30"/>
        </w:rPr>
      </w:pPr>
      <w:r>
        <w:rPr>
          <w:rFonts w:ascii="宋体" w:eastAsia="宋体" w:hAnsi="宋体" w:cs="宋体" w:hint="eastAsia"/>
          <w:b/>
          <w:sz w:val="30"/>
          <w:szCs w:val="30"/>
        </w:rPr>
        <w:t>2.2.1 出纳共享</w:t>
      </w:r>
    </w:p>
    <w:p w:rsidR="002966FA" w:rsidRDefault="007723C2" w:rsidP="007723C2">
      <w:pPr>
        <w:adjustRightInd w:val="0"/>
        <w:snapToGrid w:val="0"/>
        <w:spacing w:line="360" w:lineRule="auto"/>
        <w:ind w:firstLineChars="200" w:firstLine="602"/>
        <w:rPr>
          <w:rFonts w:ascii="宋体" w:eastAsia="宋体" w:hAnsi="宋体" w:cs="宋体"/>
          <w:sz w:val="30"/>
          <w:szCs w:val="30"/>
          <w:lang w:val="zh-CN"/>
        </w:rPr>
      </w:pPr>
      <w:r>
        <w:rPr>
          <w:rFonts w:ascii="宋体" w:eastAsia="宋体" w:hAnsi="宋体" w:cs="宋体" w:hint="eastAsia"/>
          <w:b/>
          <w:bCs/>
          <w:sz w:val="30"/>
          <w:szCs w:val="30"/>
          <w:lang w:val="zh-CN"/>
        </w:rPr>
        <w:t>出纳工作台：</w:t>
      </w:r>
      <w:r>
        <w:rPr>
          <w:rFonts w:ascii="宋体" w:eastAsia="宋体" w:hAnsi="宋体" w:cs="宋体" w:hint="eastAsia"/>
          <w:sz w:val="30"/>
          <w:szCs w:val="30"/>
          <w:lang w:val="zh-CN"/>
        </w:rPr>
        <w:t>通过财务共享服务的出纳工作平台，出纳可以访问常用功能，查看待处理的收款和付款业务，实时掌握本月资金状况，实时查看银行日记账余额分布。不需要切换账套，不需要切换组织，只要有操作权限，即可集中处理多家公司的多笔收付款业务。</w:t>
      </w:r>
    </w:p>
    <w:p w:rsidR="002966FA" w:rsidRDefault="007723C2" w:rsidP="007723C2">
      <w:pPr>
        <w:adjustRightInd w:val="0"/>
        <w:snapToGrid w:val="0"/>
        <w:spacing w:line="360" w:lineRule="auto"/>
        <w:ind w:firstLineChars="200" w:firstLine="602"/>
        <w:rPr>
          <w:rFonts w:ascii="宋体" w:eastAsia="宋体" w:hAnsi="宋体" w:cs="宋体"/>
          <w:sz w:val="30"/>
          <w:szCs w:val="30"/>
          <w:lang w:val="zh-CN"/>
        </w:rPr>
      </w:pPr>
      <w:r>
        <w:rPr>
          <w:rFonts w:ascii="宋体" w:eastAsia="宋体" w:hAnsi="宋体" w:cs="宋体" w:hint="eastAsia"/>
          <w:b/>
          <w:bCs/>
          <w:sz w:val="30"/>
          <w:szCs w:val="30"/>
          <w:lang w:val="zh-CN"/>
        </w:rPr>
        <w:t>银企支付中心：</w:t>
      </w:r>
      <w:r>
        <w:rPr>
          <w:rFonts w:ascii="宋体" w:eastAsia="宋体" w:hAnsi="宋体" w:cs="宋体" w:hint="eastAsia"/>
          <w:sz w:val="30"/>
          <w:szCs w:val="30"/>
          <w:lang w:val="zh-CN"/>
        </w:rPr>
        <w:t>提供银企互联业务处理的集成工作台，出纳可以按接口、状态提供待处理的支付业务入口，包括对公支付和对私支付。实时掌握付款信息提交银行后的处理结果，对异常交易数据进行预警跟踪，可以跨组织处理多家银行账号的银企支付。</w:t>
      </w:r>
    </w:p>
    <w:p w:rsidR="002966FA" w:rsidRDefault="007723C2" w:rsidP="007723C2">
      <w:pPr>
        <w:adjustRightInd w:val="0"/>
        <w:snapToGrid w:val="0"/>
        <w:spacing w:line="360" w:lineRule="auto"/>
        <w:ind w:firstLineChars="200" w:firstLine="602"/>
        <w:rPr>
          <w:rFonts w:ascii="宋体" w:eastAsia="宋体" w:hAnsi="宋体" w:cs="宋体"/>
          <w:sz w:val="30"/>
          <w:szCs w:val="30"/>
          <w:lang w:val="zh-CN"/>
        </w:rPr>
      </w:pPr>
      <w:r>
        <w:rPr>
          <w:rFonts w:ascii="宋体" w:eastAsia="宋体" w:hAnsi="宋体" w:cs="宋体" w:hint="eastAsia"/>
          <w:b/>
          <w:bCs/>
          <w:sz w:val="30"/>
          <w:szCs w:val="30"/>
          <w:lang w:val="zh-CN"/>
        </w:rPr>
        <w:t>多组织收付款业务处理：</w:t>
      </w:r>
      <w:r>
        <w:rPr>
          <w:rFonts w:ascii="宋体" w:eastAsia="宋体" w:hAnsi="宋体" w:cs="宋体" w:hint="eastAsia"/>
          <w:sz w:val="30"/>
          <w:szCs w:val="30"/>
          <w:lang w:val="zh-CN"/>
        </w:rPr>
        <w:t>提供出纳收付款业务的跨组织共享平台，出纳可以快速查询各家公司的收付款情况，对多组织的收</w:t>
      </w:r>
      <w:r>
        <w:rPr>
          <w:rFonts w:ascii="宋体" w:eastAsia="宋体" w:hAnsi="宋体" w:cs="宋体" w:hint="eastAsia"/>
          <w:sz w:val="30"/>
          <w:szCs w:val="30"/>
          <w:lang w:val="zh-CN"/>
        </w:rPr>
        <w:lastRenderedPageBreak/>
        <w:t>付款业务单据批量提交、审批、收付款、生成凭证等业务处理，支持多组织的银行存款日记账登记、支持多组织多账户的银行对账、支持期末多组织批量结账。</w:t>
      </w:r>
    </w:p>
    <w:p w:rsidR="002966FA" w:rsidRDefault="007723C2" w:rsidP="007723C2">
      <w:pPr>
        <w:adjustRightInd w:val="0"/>
        <w:snapToGrid w:val="0"/>
        <w:spacing w:line="360" w:lineRule="auto"/>
        <w:ind w:firstLineChars="200" w:firstLine="602"/>
        <w:rPr>
          <w:rFonts w:ascii="宋体" w:eastAsia="宋体" w:hAnsi="宋体" w:cs="宋体"/>
          <w:sz w:val="30"/>
          <w:szCs w:val="30"/>
          <w:lang w:val="zh-CN"/>
        </w:rPr>
      </w:pPr>
      <w:r>
        <w:rPr>
          <w:rFonts w:ascii="宋体" w:eastAsia="宋体" w:hAnsi="宋体" w:cs="宋体" w:hint="eastAsia"/>
          <w:b/>
          <w:bCs/>
          <w:sz w:val="30"/>
          <w:szCs w:val="30"/>
          <w:lang w:val="zh-CN"/>
        </w:rPr>
        <w:t>银企共享</w:t>
      </w:r>
      <w:r>
        <w:rPr>
          <w:rFonts w:ascii="宋体" w:eastAsia="宋体" w:hAnsi="宋体" w:cs="宋体" w:hint="eastAsia"/>
          <w:sz w:val="30"/>
          <w:szCs w:val="30"/>
          <w:lang w:val="zh-CN"/>
        </w:rPr>
        <w:t>与出纳管理、资金结算模块对接，各类结算业务，支持通过银企共享平台完成对公、对私付款业务，提高企业的资金周转效率，降低集团企业资金管控成本。</w:t>
      </w:r>
    </w:p>
    <w:p w:rsidR="002966FA" w:rsidRDefault="007723C2" w:rsidP="007723C2">
      <w:pPr>
        <w:adjustRightInd w:val="0"/>
        <w:snapToGrid w:val="0"/>
        <w:spacing w:line="360" w:lineRule="auto"/>
        <w:ind w:firstLineChars="200" w:firstLine="602"/>
        <w:rPr>
          <w:rFonts w:ascii="宋体" w:eastAsia="宋体" w:hAnsi="宋体" w:cs="宋体"/>
          <w:sz w:val="30"/>
          <w:szCs w:val="30"/>
          <w:lang w:val="zh-CN"/>
        </w:rPr>
      </w:pPr>
      <w:r>
        <w:rPr>
          <w:rFonts w:ascii="宋体" w:eastAsia="宋体" w:hAnsi="宋体" w:cs="宋体" w:hint="eastAsia"/>
          <w:b/>
          <w:bCs/>
          <w:sz w:val="30"/>
          <w:szCs w:val="30"/>
          <w:lang w:val="zh-CN"/>
        </w:rPr>
        <w:t>银企支付中心：</w:t>
      </w:r>
      <w:r>
        <w:rPr>
          <w:rFonts w:ascii="宋体" w:eastAsia="宋体" w:hAnsi="宋体" w:cs="宋体" w:hint="eastAsia"/>
          <w:sz w:val="30"/>
          <w:szCs w:val="30"/>
          <w:lang w:val="zh-CN"/>
        </w:rPr>
        <w:t>银企支付中心是银企支付人员日常工作的集成平台，集中了待付款业务处理入口、常用查询功能入口，并按银行接口提供异常交易日志警示信息。</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银企收付单下载：支持与银企互联下载电子对账单自动生成收款/付款单据。</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银行付款查询：付款单、对外付款结算单的数据提交银企直联、银企共享后，需要查看同步的状态，可以在银行付款单查询中统一查询。</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银行代发单查询：银行代发单由出纳管理或出纳共享模块下面的“代发单”提交银企时生成，是处理业务单据与银企平台的一张中间单据。</w:t>
      </w:r>
    </w:p>
    <w:p w:rsidR="002966FA" w:rsidRDefault="007723C2" w:rsidP="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银行账户余额查询：在开通了银企直联、银企共享的情况下，可通过银企直联、银企共享接口实时查询账户的余额，余额包括上日余额、当前余额与可用余额。</w:t>
      </w:r>
    </w:p>
    <w:p w:rsidR="002966FA" w:rsidRDefault="007723C2" w:rsidP="007723C2">
      <w:pPr>
        <w:adjustRightInd w:val="0"/>
        <w:snapToGrid w:val="0"/>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支持财务共享平台与OA费用报销系统之间需实现无缝对接，确保报销数据能够实时、准确地同步至财务共享平台，供相关部门和人员进行后续的支付处理。</w:t>
      </w:r>
    </w:p>
    <w:p w:rsidR="002966FA" w:rsidRDefault="007723C2" w:rsidP="007723C2">
      <w:pPr>
        <w:adjustRightInd w:val="0"/>
        <w:snapToGrid w:val="0"/>
        <w:spacing w:line="360" w:lineRule="auto"/>
        <w:ind w:left="560"/>
        <w:outlineLvl w:val="2"/>
        <w:rPr>
          <w:rFonts w:ascii="宋体" w:eastAsia="宋体" w:hAnsi="宋体" w:cs="宋体"/>
          <w:b/>
          <w:sz w:val="30"/>
          <w:szCs w:val="30"/>
        </w:rPr>
      </w:pPr>
      <w:r>
        <w:rPr>
          <w:rFonts w:ascii="宋体" w:eastAsia="宋体" w:hAnsi="宋体" w:cs="宋体" w:hint="eastAsia"/>
          <w:b/>
          <w:sz w:val="30"/>
          <w:szCs w:val="30"/>
        </w:rPr>
        <w:t>2.2.3 银行账户管理</w:t>
      </w:r>
    </w:p>
    <w:p w:rsidR="002966FA"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lastRenderedPageBreak/>
        <w:t>账户管理模块需支持处理银行账户的开户、销户全流程；同时还可以处理内部账户的管理流程，用于集团对成员单位的内部账户进行管理，支持内部账户开户业务、销户业务、冻结业务、解冻业务等。账户管理关联会计核算的明细银行账户。</w:t>
      </w:r>
    </w:p>
    <w:p w:rsidR="002966FA" w:rsidRDefault="007723C2">
      <w:pPr>
        <w:adjustRightInd w:val="0"/>
        <w:snapToGrid w:val="0"/>
        <w:spacing w:line="360" w:lineRule="auto"/>
        <w:ind w:left="560"/>
        <w:outlineLvl w:val="2"/>
        <w:rPr>
          <w:rFonts w:ascii="宋体" w:eastAsia="宋体" w:hAnsi="宋体" w:cs="宋体"/>
          <w:b/>
          <w:sz w:val="30"/>
          <w:szCs w:val="30"/>
        </w:rPr>
      </w:pPr>
      <w:r>
        <w:rPr>
          <w:rFonts w:ascii="宋体" w:eastAsia="宋体" w:hAnsi="宋体" w:cs="宋体" w:hint="eastAsia"/>
          <w:b/>
          <w:sz w:val="30"/>
          <w:szCs w:val="30"/>
        </w:rPr>
        <w:t>2.2.4 资金计划</w:t>
      </w:r>
    </w:p>
    <w:p w:rsidR="002966FA"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t>资金计划模块需满足结合资金存量，对单位、集团未来的资金收入、支出进行平衡，做出符合管理目标的资金安排。</w:t>
      </w:r>
    </w:p>
    <w:p w:rsidR="002966FA"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t>提供资金计划基础设置、编制、审批、调整、实际数维护、控制、分析等实用功能。</w:t>
      </w:r>
    </w:p>
    <w:p w:rsidR="002966FA"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t>支持用户定制符合自己管理需要的资金计划，并对计划编制的过程（下发、编制、上报、汇总、审核）进行管理。</w:t>
      </w:r>
    </w:p>
    <w:p w:rsidR="002966FA"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t>可以汇总全集团资金需求,可以形成抵消内部资金往来后的资金需求。</w:t>
      </w:r>
    </w:p>
    <w:p w:rsidR="002966FA" w:rsidRPr="003665A1" w:rsidRDefault="007723C2"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r>
        <w:rPr>
          <w:rFonts w:ascii="宋体" w:eastAsia="宋体" w:hAnsi="宋体" w:cs="宋体" w:hint="eastAsia"/>
          <w:color w:val="000000" w:themeColor="text1"/>
          <w:sz w:val="30"/>
          <w:szCs w:val="30"/>
          <w:lang w:val="zh-CN"/>
        </w:rPr>
        <w:t>与</w:t>
      </w:r>
      <w:r w:rsidRPr="00A61D0E">
        <w:rPr>
          <w:rFonts w:ascii="宋体" w:eastAsia="宋体" w:hAnsi="宋体" w:cs="宋体"/>
          <w:color w:val="000000" w:themeColor="text1"/>
          <w:sz w:val="30"/>
          <w:szCs w:val="30"/>
          <w:lang w:val="zh-CN"/>
        </w:rPr>
        <w:t>OA</w:t>
      </w:r>
      <w:r w:rsidRPr="00A61D0E">
        <w:rPr>
          <w:rFonts w:ascii="宋体" w:eastAsia="宋体" w:hAnsi="宋体" w:cs="宋体" w:hint="eastAsia"/>
          <w:color w:val="000000" w:themeColor="text1"/>
          <w:sz w:val="30"/>
          <w:szCs w:val="30"/>
          <w:lang w:val="zh-CN"/>
        </w:rPr>
        <w:t>、财务、投融资等</w:t>
      </w:r>
      <w:r>
        <w:rPr>
          <w:rFonts w:ascii="宋体" w:eastAsia="宋体" w:hAnsi="宋体" w:cs="宋体" w:hint="eastAsia"/>
          <w:color w:val="000000" w:themeColor="text1"/>
          <w:sz w:val="30"/>
          <w:szCs w:val="30"/>
          <w:lang w:val="zh-CN"/>
        </w:rPr>
        <w:t>数据</w:t>
      </w:r>
      <w:r w:rsidRPr="00A61D0E">
        <w:rPr>
          <w:rFonts w:ascii="宋体" w:eastAsia="宋体" w:hAnsi="宋体" w:cs="宋体" w:hint="eastAsia"/>
          <w:color w:val="000000" w:themeColor="text1"/>
          <w:sz w:val="30"/>
          <w:szCs w:val="30"/>
          <w:lang w:val="zh-CN"/>
        </w:rPr>
        <w:t>实现</w:t>
      </w:r>
      <w:r>
        <w:rPr>
          <w:rFonts w:ascii="宋体" w:eastAsia="宋体" w:hAnsi="宋体" w:cs="宋体" w:hint="eastAsia"/>
          <w:color w:val="000000" w:themeColor="text1"/>
          <w:sz w:val="30"/>
          <w:szCs w:val="30"/>
          <w:lang w:val="zh-CN"/>
        </w:rPr>
        <w:t>集成与共享，资金计划人员可以实时查</w:t>
      </w:r>
      <w:r w:rsidRPr="003665A1">
        <w:rPr>
          <w:rFonts w:ascii="宋体" w:eastAsia="宋体" w:hAnsi="宋体" w:cs="宋体" w:hint="eastAsia"/>
          <w:color w:val="000000" w:themeColor="text1"/>
          <w:sz w:val="30"/>
          <w:szCs w:val="30"/>
          <w:lang w:val="zh-CN"/>
        </w:rPr>
        <w:t>询资金计划的执行情况，分析资金计划执行差异，评价资金计划执行效果。</w:t>
      </w:r>
    </w:p>
    <w:p w:rsidR="006A423D" w:rsidRPr="000D52F1" w:rsidRDefault="006A423D" w:rsidP="003665A1">
      <w:pPr>
        <w:adjustRightInd w:val="0"/>
        <w:snapToGrid w:val="0"/>
        <w:spacing w:line="360" w:lineRule="auto"/>
        <w:ind w:left="560"/>
        <w:outlineLvl w:val="2"/>
        <w:rPr>
          <w:rFonts w:ascii="宋体" w:eastAsia="宋体" w:hAnsi="宋体" w:cs="宋体"/>
          <w:b/>
          <w:sz w:val="30"/>
          <w:szCs w:val="30"/>
        </w:rPr>
      </w:pPr>
      <w:r w:rsidRPr="000D52F1">
        <w:rPr>
          <w:rFonts w:ascii="宋体" w:eastAsia="宋体" w:hAnsi="宋体" w:cs="宋体" w:hint="eastAsia"/>
          <w:b/>
          <w:sz w:val="30"/>
          <w:szCs w:val="30"/>
        </w:rPr>
        <w:t>2.2.5源代码归属</w:t>
      </w:r>
    </w:p>
    <w:p w:rsidR="006A423D" w:rsidRDefault="00B3215E" w:rsidP="00B3215E">
      <w:pPr>
        <w:adjustRightInd w:val="0"/>
        <w:snapToGrid w:val="0"/>
        <w:spacing w:line="360" w:lineRule="auto"/>
        <w:ind w:left="69" w:firstLineChars="119" w:firstLine="357"/>
        <w:rPr>
          <w:rFonts w:ascii="宋体" w:eastAsia="宋体" w:hAnsi="宋体" w:cs="宋体"/>
          <w:color w:val="000000" w:themeColor="text1"/>
          <w:sz w:val="30"/>
          <w:szCs w:val="30"/>
          <w:lang w:val="zh-CN"/>
        </w:rPr>
      </w:pPr>
      <w:r w:rsidRPr="000D52F1">
        <w:rPr>
          <w:rFonts w:ascii="宋体" w:eastAsia="宋体" w:hAnsi="宋体" w:cs="宋体" w:hint="eastAsia"/>
          <w:color w:val="000000" w:themeColor="text1"/>
          <w:sz w:val="30"/>
          <w:szCs w:val="30"/>
          <w:lang w:val="zh-CN"/>
        </w:rPr>
        <w:t>本项目的二次开发源代码（含各类异构系统对接部分接口源代码）归</w:t>
      </w:r>
      <w:r w:rsidR="003665A1" w:rsidRPr="000D52F1">
        <w:rPr>
          <w:rFonts w:ascii="宋体" w:eastAsia="宋体" w:hAnsi="宋体" w:cs="宋体" w:hint="eastAsia"/>
          <w:color w:val="000000" w:themeColor="text1"/>
          <w:sz w:val="30"/>
          <w:szCs w:val="30"/>
          <w:lang w:val="zh-CN"/>
        </w:rPr>
        <w:t>中国建设银行股份有限公司</w:t>
      </w:r>
      <w:r w:rsidR="006A423D" w:rsidRPr="000D52F1">
        <w:rPr>
          <w:rFonts w:ascii="宋体" w:eastAsia="宋体" w:hAnsi="宋体" w:cs="宋体" w:hint="eastAsia"/>
          <w:color w:val="000000" w:themeColor="text1"/>
          <w:sz w:val="30"/>
          <w:szCs w:val="30"/>
          <w:lang w:val="zh-CN"/>
        </w:rPr>
        <w:t>厦门</w:t>
      </w:r>
      <w:r w:rsidR="003665A1" w:rsidRPr="000D52F1">
        <w:rPr>
          <w:rFonts w:ascii="宋体" w:eastAsia="宋体" w:hAnsi="宋体" w:cs="宋体" w:hint="eastAsia"/>
          <w:color w:val="000000" w:themeColor="text1"/>
          <w:sz w:val="30"/>
          <w:szCs w:val="30"/>
          <w:lang w:val="zh-CN"/>
        </w:rPr>
        <w:t>市</w:t>
      </w:r>
      <w:r w:rsidR="006A423D" w:rsidRPr="000D52F1">
        <w:rPr>
          <w:rFonts w:ascii="宋体" w:eastAsia="宋体" w:hAnsi="宋体" w:cs="宋体" w:hint="eastAsia"/>
          <w:color w:val="000000" w:themeColor="text1"/>
          <w:sz w:val="30"/>
          <w:szCs w:val="30"/>
          <w:lang w:val="zh-CN"/>
        </w:rPr>
        <w:t>分行</w:t>
      </w:r>
      <w:r w:rsidRPr="000D52F1">
        <w:rPr>
          <w:rFonts w:ascii="宋体" w:eastAsia="宋体" w:hAnsi="宋体" w:cs="宋体" w:hint="eastAsia"/>
          <w:color w:val="000000" w:themeColor="text1"/>
          <w:sz w:val="30"/>
          <w:szCs w:val="30"/>
          <w:lang w:val="zh-CN"/>
        </w:rPr>
        <w:t>所有</w:t>
      </w:r>
      <w:r w:rsidR="003665A1" w:rsidRPr="000D52F1">
        <w:rPr>
          <w:rFonts w:ascii="宋体" w:eastAsia="宋体" w:hAnsi="宋体" w:cs="宋体" w:hint="eastAsia"/>
          <w:color w:val="000000" w:themeColor="text1"/>
          <w:sz w:val="30"/>
          <w:szCs w:val="30"/>
          <w:lang w:val="zh-CN"/>
        </w:rPr>
        <w:t>。</w:t>
      </w:r>
    </w:p>
    <w:p w:rsidR="00667954" w:rsidRDefault="00667954" w:rsidP="00A61D0E">
      <w:pPr>
        <w:adjustRightInd w:val="0"/>
        <w:snapToGrid w:val="0"/>
        <w:spacing w:line="360" w:lineRule="auto"/>
        <w:ind w:left="69" w:firstLineChars="200" w:firstLine="600"/>
        <w:rPr>
          <w:rFonts w:ascii="宋体" w:eastAsia="宋体" w:hAnsi="宋体" w:cs="宋体"/>
          <w:color w:val="000000" w:themeColor="text1"/>
          <w:sz w:val="30"/>
          <w:szCs w:val="30"/>
          <w:lang w:val="zh-CN"/>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项目组织</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项目过程中至少安排</w:t>
      </w:r>
      <w:r>
        <w:rPr>
          <w:rFonts w:ascii="宋体" w:eastAsia="宋体" w:hAnsi="宋体" w:cs="宋体" w:hint="eastAsia"/>
          <w:sz w:val="30"/>
          <w:szCs w:val="30"/>
        </w:rPr>
        <w:t>1名工作5年以上、参与过2个以上财务共享项目的项目经理，以及2</w:t>
      </w:r>
      <w:r>
        <w:rPr>
          <w:rFonts w:ascii="宋体" w:eastAsia="宋体" w:hAnsi="宋体" w:cs="宋体" w:hint="eastAsia"/>
          <w:sz w:val="30"/>
          <w:szCs w:val="30"/>
          <w:lang w:val="zh-CN"/>
        </w:rPr>
        <w:t>名工作</w:t>
      </w:r>
      <w:r>
        <w:rPr>
          <w:rFonts w:ascii="宋体" w:eastAsia="宋体" w:hAnsi="宋体" w:cs="宋体" w:hint="eastAsia"/>
          <w:sz w:val="30"/>
          <w:szCs w:val="30"/>
        </w:rPr>
        <w:t>3</w:t>
      </w:r>
      <w:r>
        <w:rPr>
          <w:rFonts w:ascii="宋体" w:eastAsia="宋体" w:hAnsi="宋体" w:cs="宋体" w:hint="eastAsia"/>
          <w:sz w:val="30"/>
          <w:szCs w:val="30"/>
          <w:lang w:val="zh-CN"/>
        </w:rPr>
        <w:t>年以上、参与过</w:t>
      </w:r>
      <w:r>
        <w:rPr>
          <w:rFonts w:ascii="宋体" w:eastAsia="宋体" w:hAnsi="宋体" w:cs="宋体" w:hint="eastAsia"/>
          <w:sz w:val="30"/>
          <w:szCs w:val="30"/>
        </w:rPr>
        <w:t>同类型系统建设</w:t>
      </w:r>
      <w:r>
        <w:rPr>
          <w:rFonts w:ascii="宋体" w:eastAsia="宋体" w:hAnsi="宋体" w:cs="宋体" w:hint="eastAsia"/>
          <w:sz w:val="30"/>
          <w:szCs w:val="30"/>
          <w:lang w:val="zh-CN"/>
        </w:rPr>
        <w:t>项目</w:t>
      </w:r>
      <w:r>
        <w:rPr>
          <w:rFonts w:ascii="宋体" w:eastAsia="宋体" w:hAnsi="宋体" w:cs="宋体" w:hint="eastAsia"/>
          <w:sz w:val="30"/>
          <w:szCs w:val="30"/>
        </w:rPr>
        <w:t>的顾问。所有项目人员需要</w:t>
      </w:r>
      <w:r>
        <w:rPr>
          <w:rFonts w:ascii="宋体" w:eastAsia="宋体" w:hAnsi="宋体" w:cs="宋体" w:hint="eastAsia"/>
          <w:sz w:val="30"/>
          <w:szCs w:val="30"/>
          <w:lang w:val="zh-CN"/>
        </w:rPr>
        <w:t>熟悉</w:t>
      </w:r>
      <w:r>
        <w:rPr>
          <w:rFonts w:ascii="宋体" w:eastAsia="宋体" w:hAnsi="宋体" w:cs="宋体" w:hint="eastAsia"/>
          <w:sz w:val="30"/>
          <w:szCs w:val="30"/>
        </w:rPr>
        <w:t>相关业务、熟悉系</w:t>
      </w:r>
      <w:r>
        <w:rPr>
          <w:rFonts w:ascii="宋体" w:eastAsia="宋体" w:hAnsi="宋体" w:cs="宋体" w:hint="eastAsia"/>
          <w:sz w:val="30"/>
          <w:szCs w:val="30"/>
        </w:rPr>
        <w:lastRenderedPageBreak/>
        <w:t>统使用、具备实施经验，</w:t>
      </w:r>
      <w:r>
        <w:rPr>
          <w:rFonts w:ascii="宋体" w:eastAsia="宋体" w:hAnsi="宋体" w:cs="宋体" w:hint="eastAsia"/>
          <w:sz w:val="30"/>
          <w:szCs w:val="30"/>
          <w:lang w:val="zh-CN"/>
        </w:rPr>
        <w:t>人员资质应经甲方同意后方可入场，项目期间发生人员变动须征得甲方同意。</w:t>
      </w:r>
    </w:p>
    <w:p w:rsidR="00667954" w:rsidRDefault="00667954">
      <w:pPr>
        <w:adjustRightInd w:val="0"/>
        <w:snapToGrid w:val="0"/>
        <w:spacing w:line="360" w:lineRule="auto"/>
        <w:ind w:firstLineChars="200" w:firstLine="600"/>
        <w:rPr>
          <w:rFonts w:ascii="宋体" w:eastAsia="宋体" w:hAnsi="宋体" w:cs="宋体"/>
          <w:sz w:val="30"/>
          <w:szCs w:val="30"/>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项目的里程碑及生命周期</w:t>
      </w:r>
    </w:p>
    <w:p w:rsidR="002966FA" w:rsidRDefault="007723C2">
      <w:pPr>
        <w:adjustRightInd w:val="0"/>
        <w:snapToGrid w:val="0"/>
        <w:spacing w:line="360" w:lineRule="auto"/>
        <w:ind w:firstLineChars="200" w:firstLine="600"/>
        <w:rPr>
          <w:rFonts w:ascii="宋体" w:eastAsia="宋体" w:hAnsi="宋体" w:cs="宋体"/>
          <w:sz w:val="30"/>
          <w:szCs w:val="30"/>
        </w:rPr>
      </w:pPr>
      <w:r>
        <w:rPr>
          <w:rFonts w:ascii="宋体" w:eastAsia="宋体" w:hAnsi="宋体" w:cs="宋体" w:hint="eastAsia"/>
          <w:sz w:val="30"/>
          <w:szCs w:val="30"/>
        </w:rPr>
        <w:t>签订合同后8个月内完成系统全部功能上线。</w:t>
      </w:r>
    </w:p>
    <w:p w:rsidR="00667954" w:rsidRDefault="00667954">
      <w:pPr>
        <w:adjustRightInd w:val="0"/>
        <w:snapToGrid w:val="0"/>
        <w:spacing w:line="360" w:lineRule="auto"/>
        <w:ind w:firstLineChars="200" w:firstLine="600"/>
        <w:rPr>
          <w:rFonts w:ascii="宋体" w:eastAsia="宋体" w:hAnsi="宋体" w:cs="宋体"/>
          <w:sz w:val="30"/>
          <w:szCs w:val="30"/>
          <w:lang w:val="zh-CN"/>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项目所需资源</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1.文档要求</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按甲方的要求提供文档（包含但不限于：工作主计划、需求分析报告、业务解决方案、业务测试报告、培训操作手册、上线确认报告、问题跟踪记录表、项目验收报告等）。</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2.应急处理方案</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提供完整可行的应用级应急处理方案，包含系统上线切换应急以及上线后日常应急处理。</w:t>
      </w:r>
    </w:p>
    <w:p w:rsidR="002966FA" w:rsidRDefault="002966FA">
      <w:pPr>
        <w:adjustRightInd w:val="0"/>
        <w:snapToGrid w:val="0"/>
        <w:ind w:firstLine="420"/>
        <w:rPr>
          <w:rFonts w:ascii="宋体" w:eastAsia="宋体" w:hAnsi="宋体" w:cs="宋体"/>
          <w:sz w:val="30"/>
          <w:szCs w:val="30"/>
          <w:lang w:val="zh-CN"/>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相关技术培训</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项目实施周期内，对甲方相关技术开发、运维人员及业务人员进行各类现场培训,包括并不仅限于开发环境、开发工具、系统使用及系统运维等培训。</w:t>
      </w:r>
    </w:p>
    <w:p w:rsidR="002966FA" w:rsidRDefault="002966FA">
      <w:pPr>
        <w:rPr>
          <w:rFonts w:ascii="宋体" w:eastAsia="宋体" w:hAnsi="宋体" w:cs="宋体"/>
        </w:rPr>
      </w:pPr>
    </w:p>
    <w:p w:rsidR="002966FA" w:rsidRDefault="002966FA">
      <w:pPr>
        <w:pStyle w:val="a5"/>
        <w:rPr>
          <w:rFonts w:ascii="宋体" w:hAnsi="宋体" w:cs="宋体"/>
          <w:lang w:val="zh-CN"/>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项目验收标准及流程</w:t>
      </w:r>
    </w:p>
    <w:p w:rsidR="002966FA" w:rsidRPr="0075550D" w:rsidRDefault="007723C2" w:rsidP="0075550D">
      <w:pPr>
        <w:adjustRightInd w:val="0"/>
        <w:snapToGrid w:val="0"/>
        <w:spacing w:line="360" w:lineRule="auto"/>
        <w:ind w:firstLineChars="200" w:firstLine="600"/>
        <w:jc w:val="left"/>
        <w:rPr>
          <w:rFonts w:ascii="宋体" w:hAnsi="宋体" w:cs="宋体"/>
          <w:bCs/>
          <w:color w:val="000000"/>
          <w:sz w:val="24"/>
        </w:rPr>
      </w:pPr>
      <w:r>
        <w:rPr>
          <w:rFonts w:ascii="宋体" w:eastAsia="宋体" w:hAnsi="宋体" w:cs="宋体" w:hint="eastAsia"/>
          <w:sz w:val="30"/>
          <w:szCs w:val="30"/>
          <w:lang w:val="zh-CN"/>
        </w:rPr>
        <w:t>系统全部功能上线并稳定后，乙方提供本项目设计文档、系统使用手册、二次开发部分的源代码等技术文档，经甲方检查符合验收标准后，由甲方组织进行项目验收相关工作，相关费用由</w:t>
      </w:r>
      <w:r>
        <w:rPr>
          <w:rFonts w:ascii="宋体" w:eastAsia="宋体" w:hAnsi="宋体" w:cs="宋体" w:hint="eastAsia"/>
          <w:sz w:val="30"/>
          <w:szCs w:val="30"/>
          <w:lang w:val="zh-CN"/>
        </w:rPr>
        <w:lastRenderedPageBreak/>
        <w:t>乙方承担</w:t>
      </w:r>
      <w:r>
        <w:rPr>
          <w:rFonts w:ascii="宋体" w:hAnsi="宋体" w:cs="宋体" w:hint="eastAsia"/>
          <w:bCs/>
          <w:color w:val="000000"/>
          <w:sz w:val="24"/>
        </w:rPr>
        <w:t>。</w:t>
      </w: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售后技术支持</w:t>
      </w:r>
    </w:p>
    <w:p w:rsidR="002966FA" w:rsidRDefault="007723C2">
      <w:pPr>
        <w:ind w:firstLineChars="228" w:firstLine="684"/>
        <w:jc w:val="left"/>
        <w:rPr>
          <w:rFonts w:ascii="宋体" w:eastAsia="宋体" w:hAnsi="宋体" w:cs="宋体"/>
          <w:sz w:val="30"/>
          <w:szCs w:val="30"/>
          <w:lang w:val="zh-CN"/>
        </w:rPr>
      </w:pPr>
      <w:r>
        <w:rPr>
          <w:rFonts w:ascii="宋体" w:eastAsia="宋体" w:hAnsi="宋体" w:cs="宋体" w:hint="eastAsia"/>
          <w:sz w:val="30"/>
          <w:szCs w:val="30"/>
          <w:lang w:val="zh-CN"/>
        </w:rPr>
        <w:t>系统故障分为严重、一般、轻微三个等级，乙方应根据系统故障的不同级别，提供不同的故障响应及解决服务：“严重”为系统无法运行或基本无法运行，或系统重要功能失效或基本失效；“一般”为系统可以运行，但非重要性功能的使用受到限制；“轻微”为其它轻微影响系统使用的故障。</w:t>
      </w:r>
    </w:p>
    <w:p w:rsidR="002966FA" w:rsidRDefault="007723C2">
      <w:pPr>
        <w:widowControl/>
        <w:tabs>
          <w:tab w:val="left" w:pos="0"/>
          <w:tab w:val="left" w:pos="540"/>
        </w:tabs>
        <w:ind w:firstLineChars="200" w:firstLine="600"/>
        <w:jc w:val="left"/>
        <w:rPr>
          <w:rFonts w:ascii="宋体" w:eastAsia="宋体" w:hAnsi="宋体" w:cs="宋体"/>
          <w:sz w:val="30"/>
          <w:szCs w:val="30"/>
          <w:lang w:val="zh-CN"/>
        </w:rPr>
      </w:pPr>
      <w:r>
        <w:rPr>
          <w:rFonts w:ascii="宋体" w:eastAsia="宋体" w:hAnsi="宋体" w:cs="宋体" w:hint="eastAsia"/>
          <w:sz w:val="30"/>
          <w:szCs w:val="30"/>
          <w:lang w:val="zh-CN"/>
        </w:rPr>
        <w:t xml:space="preserve">乙方应对甲方报告的系统故障做出及时响应： </w:t>
      </w:r>
    </w:p>
    <w:p w:rsidR="002966FA" w:rsidRDefault="007723C2">
      <w:pPr>
        <w:widowControl/>
        <w:tabs>
          <w:tab w:val="left" w:pos="0"/>
          <w:tab w:val="left" w:pos="540"/>
        </w:tabs>
        <w:ind w:firstLineChars="200" w:firstLine="600"/>
        <w:jc w:val="left"/>
        <w:rPr>
          <w:rFonts w:ascii="宋体" w:eastAsia="宋体" w:hAnsi="宋体" w:cs="宋体"/>
          <w:sz w:val="30"/>
          <w:szCs w:val="30"/>
          <w:lang w:val="zh-CN"/>
        </w:rPr>
      </w:pPr>
      <w:r>
        <w:rPr>
          <w:rFonts w:ascii="宋体" w:eastAsia="宋体" w:hAnsi="宋体" w:cs="宋体" w:hint="eastAsia"/>
          <w:sz w:val="30"/>
          <w:szCs w:val="30"/>
          <w:lang w:val="zh-CN"/>
        </w:rPr>
        <w:t>对于严重级别故障，乙方应立即派出高级技术人员到现场进行维修，与此同时，乙方技术支持人员应通过电话、网络等方式尝试排除故障；乙方派出的高级技术人员应当在</w:t>
      </w:r>
      <w:r>
        <w:rPr>
          <w:rFonts w:ascii="宋体" w:eastAsia="宋体" w:hAnsi="宋体" w:cs="宋体" w:hint="eastAsia"/>
          <w:sz w:val="30"/>
          <w:szCs w:val="30"/>
          <w:u w:val="single"/>
          <w:lang w:val="zh-CN"/>
        </w:rPr>
        <w:t xml:space="preserve">  1  </w:t>
      </w:r>
      <w:r>
        <w:rPr>
          <w:rFonts w:ascii="宋体" w:eastAsia="宋体" w:hAnsi="宋体" w:cs="宋体" w:hint="eastAsia"/>
          <w:sz w:val="30"/>
          <w:szCs w:val="30"/>
          <w:lang w:val="zh-CN"/>
        </w:rPr>
        <w:t>小时内（从甲方故障报告时间起算，下同）到达故障现场，乙方应承诺在收到故障报告后</w:t>
      </w:r>
      <w:r>
        <w:rPr>
          <w:rFonts w:ascii="宋体" w:eastAsia="宋体" w:hAnsi="宋体" w:cs="宋体" w:hint="eastAsia"/>
          <w:sz w:val="30"/>
          <w:szCs w:val="30"/>
          <w:u w:val="single"/>
          <w:lang w:val="zh-CN"/>
        </w:rPr>
        <w:t xml:space="preserve">  4   </w:t>
      </w:r>
      <w:r>
        <w:rPr>
          <w:rFonts w:ascii="宋体" w:eastAsia="宋体" w:hAnsi="宋体" w:cs="宋体" w:hint="eastAsia"/>
          <w:sz w:val="30"/>
          <w:szCs w:val="30"/>
          <w:lang w:val="zh-CN"/>
        </w:rPr>
        <w:t>小时内恢复系统正常运行。</w:t>
      </w:r>
    </w:p>
    <w:p w:rsidR="002966FA" w:rsidRDefault="007723C2">
      <w:pPr>
        <w:widowControl/>
        <w:tabs>
          <w:tab w:val="left" w:pos="0"/>
        </w:tabs>
        <w:ind w:firstLineChars="200" w:firstLine="600"/>
        <w:jc w:val="left"/>
        <w:rPr>
          <w:rFonts w:ascii="宋体" w:eastAsia="宋体" w:hAnsi="宋体" w:cs="宋体"/>
          <w:sz w:val="30"/>
          <w:szCs w:val="30"/>
          <w:lang w:val="zh-CN"/>
        </w:rPr>
      </w:pPr>
      <w:r>
        <w:rPr>
          <w:rFonts w:ascii="宋体" w:eastAsia="宋体" w:hAnsi="宋体" w:cs="宋体" w:hint="eastAsia"/>
          <w:sz w:val="30"/>
          <w:szCs w:val="30"/>
          <w:lang w:val="zh-CN"/>
        </w:rPr>
        <w:t>对于一般级别故障，乙方应立即通过电话、网络等方式尝试排除故障；如故障在</w:t>
      </w:r>
      <w:r>
        <w:rPr>
          <w:rFonts w:ascii="宋体" w:eastAsia="宋体" w:hAnsi="宋体" w:cs="宋体" w:hint="eastAsia"/>
          <w:sz w:val="30"/>
          <w:szCs w:val="30"/>
          <w:u w:val="single"/>
          <w:lang w:val="zh-CN"/>
        </w:rPr>
        <w:t xml:space="preserve">  </w:t>
      </w:r>
      <w:r>
        <w:rPr>
          <w:rFonts w:ascii="宋体" w:eastAsia="宋体" w:hAnsi="宋体" w:cs="宋体" w:hint="eastAsia"/>
          <w:sz w:val="30"/>
          <w:szCs w:val="30"/>
          <w:u w:val="single"/>
        </w:rPr>
        <w:t>8</w:t>
      </w:r>
      <w:r>
        <w:rPr>
          <w:rFonts w:ascii="宋体" w:eastAsia="宋体" w:hAnsi="宋体" w:cs="宋体" w:hint="eastAsia"/>
          <w:sz w:val="30"/>
          <w:szCs w:val="30"/>
          <w:u w:val="single"/>
          <w:lang w:val="zh-CN"/>
        </w:rPr>
        <w:t xml:space="preserve">   </w:t>
      </w:r>
      <w:r>
        <w:rPr>
          <w:rFonts w:ascii="宋体" w:eastAsia="宋体" w:hAnsi="宋体" w:cs="宋体" w:hint="eastAsia"/>
          <w:sz w:val="30"/>
          <w:szCs w:val="30"/>
          <w:lang w:val="zh-CN"/>
        </w:rPr>
        <w:t>小时内无法排除，乙方应承诺在收到故障报告后</w:t>
      </w:r>
      <w:r>
        <w:rPr>
          <w:rFonts w:ascii="宋体" w:eastAsia="宋体" w:hAnsi="宋体" w:cs="宋体" w:hint="eastAsia"/>
          <w:sz w:val="30"/>
          <w:szCs w:val="30"/>
          <w:u w:val="single"/>
          <w:lang w:val="zh-CN"/>
        </w:rPr>
        <w:t xml:space="preserve">  </w:t>
      </w:r>
      <w:r>
        <w:rPr>
          <w:rFonts w:ascii="宋体" w:eastAsia="宋体" w:hAnsi="宋体" w:cs="宋体" w:hint="eastAsia"/>
          <w:sz w:val="30"/>
          <w:szCs w:val="30"/>
          <w:u w:val="single"/>
        </w:rPr>
        <w:t>24</w:t>
      </w:r>
      <w:r>
        <w:rPr>
          <w:rFonts w:ascii="宋体" w:eastAsia="宋体" w:hAnsi="宋体" w:cs="宋体" w:hint="eastAsia"/>
          <w:sz w:val="30"/>
          <w:szCs w:val="30"/>
          <w:u w:val="single"/>
          <w:lang w:val="zh-CN"/>
        </w:rPr>
        <w:t xml:space="preserve">   </w:t>
      </w:r>
      <w:r>
        <w:rPr>
          <w:rFonts w:ascii="宋体" w:eastAsia="宋体" w:hAnsi="宋体" w:cs="宋体" w:hint="eastAsia"/>
          <w:sz w:val="30"/>
          <w:szCs w:val="30"/>
          <w:lang w:val="zh-CN"/>
        </w:rPr>
        <w:t>小时内恢复系统正常运行。</w:t>
      </w:r>
    </w:p>
    <w:p w:rsidR="002966FA" w:rsidRDefault="007723C2">
      <w:pPr>
        <w:spacing w:line="360" w:lineRule="auto"/>
        <w:ind w:firstLineChars="150" w:firstLine="450"/>
        <w:rPr>
          <w:rFonts w:ascii="宋体" w:eastAsia="宋体" w:hAnsi="宋体" w:cs="宋体"/>
          <w:sz w:val="30"/>
          <w:szCs w:val="30"/>
          <w:lang w:val="zh-CN"/>
        </w:rPr>
      </w:pPr>
      <w:r>
        <w:rPr>
          <w:rFonts w:ascii="宋体" w:eastAsia="宋体" w:hAnsi="宋体" w:cs="宋体" w:hint="eastAsia"/>
          <w:sz w:val="30"/>
          <w:szCs w:val="30"/>
          <w:lang w:val="zh-CN"/>
        </w:rPr>
        <w:t>对于轻微级别故障，乙方应立即通过电话、网络等方式尝试排除故障；如故障在</w:t>
      </w:r>
      <w:r>
        <w:rPr>
          <w:rFonts w:ascii="宋体" w:eastAsia="宋体" w:hAnsi="宋体" w:cs="宋体" w:hint="eastAsia"/>
          <w:sz w:val="30"/>
          <w:szCs w:val="30"/>
          <w:u w:val="single"/>
          <w:lang w:val="zh-CN"/>
        </w:rPr>
        <w:t xml:space="preserve">   </w:t>
      </w:r>
      <w:r>
        <w:rPr>
          <w:rFonts w:ascii="宋体" w:eastAsia="宋体" w:hAnsi="宋体" w:cs="宋体" w:hint="eastAsia"/>
          <w:sz w:val="30"/>
          <w:szCs w:val="30"/>
          <w:u w:val="single"/>
        </w:rPr>
        <w:t>12</w:t>
      </w:r>
      <w:r>
        <w:rPr>
          <w:rFonts w:ascii="宋体" w:eastAsia="宋体" w:hAnsi="宋体" w:cs="宋体" w:hint="eastAsia"/>
          <w:sz w:val="30"/>
          <w:szCs w:val="30"/>
          <w:u w:val="single"/>
          <w:lang w:val="zh-CN"/>
        </w:rPr>
        <w:t xml:space="preserve">  </w:t>
      </w:r>
      <w:r>
        <w:rPr>
          <w:rFonts w:ascii="宋体" w:eastAsia="宋体" w:hAnsi="宋体" w:cs="宋体" w:hint="eastAsia"/>
          <w:sz w:val="30"/>
          <w:szCs w:val="30"/>
          <w:lang w:val="zh-CN"/>
        </w:rPr>
        <w:t>小时内无法排除，乙方应承诺在收到故障报告后</w:t>
      </w:r>
      <w:r>
        <w:rPr>
          <w:rFonts w:ascii="宋体" w:eastAsia="宋体" w:hAnsi="宋体" w:cs="宋体" w:hint="eastAsia"/>
          <w:sz w:val="30"/>
          <w:szCs w:val="30"/>
          <w:u w:val="single"/>
          <w:lang w:val="zh-CN"/>
        </w:rPr>
        <w:t xml:space="preserve"> </w:t>
      </w:r>
      <w:r>
        <w:rPr>
          <w:rFonts w:ascii="宋体" w:eastAsia="宋体" w:hAnsi="宋体" w:cs="宋体" w:hint="eastAsia"/>
          <w:sz w:val="30"/>
          <w:szCs w:val="30"/>
          <w:u w:val="single"/>
        </w:rPr>
        <w:t>48</w:t>
      </w:r>
      <w:r>
        <w:rPr>
          <w:rFonts w:ascii="宋体" w:eastAsia="宋体" w:hAnsi="宋体" w:cs="宋体" w:hint="eastAsia"/>
          <w:sz w:val="30"/>
          <w:szCs w:val="30"/>
          <w:u w:val="single"/>
          <w:lang w:val="zh-CN"/>
        </w:rPr>
        <w:t xml:space="preserve">  </w:t>
      </w:r>
      <w:r>
        <w:rPr>
          <w:rFonts w:ascii="宋体" w:eastAsia="宋体" w:hAnsi="宋体" w:cs="宋体" w:hint="eastAsia"/>
          <w:sz w:val="30"/>
          <w:szCs w:val="30"/>
          <w:lang w:val="zh-CN"/>
        </w:rPr>
        <w:t>小时内恢复系统正常运行。</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对于无法现场解决的故障，乙方应当按照甲方要求采取其他补救措施。</w:t>
      </w:r>
    </w:p>
    <w:p w:rsidR="002966FA" w:rsidRDefault="007723C2">
      <w:p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乙方应提供7×</w:t>
      </w:r>
      <w:r>
        <w:rPr>
          <w:rFonts w:ascii="宋体" w:eastAsia="宋体" w:hAnsi="宋体" w:cs="宋体" w:hint="eastAsia"/>
          <w:sz w:val="30"/>
          <w:szCs w:val="30"/>
        </w:rPr>
        <w:t>8</w:t>
      </w:r>
      <w:r>
        <w:rPr>
          <w:rFonts w:ascii="宋体" w:eastAsia="宋体" w:hAnsi="宋体" w:cs="宋体" w:hint="eastAsia"/>
          <w:sz w:val="30"/>
          <w:szCs w:val="30"/>
          <w:lang w:val="zh-CN"/>
        </w:rPr>
        <w:t>小时的电话、网络等远程支持服务，对甲方在系统使用过程中出现的一般性问题提供咨询解答。</w:t>
      </w:r>
    </w:p>
    <w:p w:rsidR="00667954" w:rsidRDefault="00667954">
      <w:pPr>
        <w:adjustRightInd w:val="0"/>
        <w:snapToGrid w:val="0"/>
        <w:spacing w:line="360" w:lineRule="auto"/>
        <w:ind w:firstLineChars="200" w:firstLine="600"/>
        <w:rPr>
          <w:rFonts w:ascii="宋体" w:eastAsia="宋体" w:hAnsi="宋体" w:cs="宋体"/>
          <w:sz w:val="30"/>
          <w:szCs w:val="30"/>
          <w:lang w:val="zh-CN"/>
        </w:rPr>
      </w:pPr>
    </w:p>
    <w:p w:rsidR="002966FA" w:rsidRDefault="007723C2">
      <w:pPr>
        <w:pStyle w:val="a8"/>
        <w:numPr>
          <w:ilvl w:val="0"/>
          <w:numId w:val="3"/>
        </w:numPr>
        <w:adjustRightInd w:val="0"/>
        <w:snapToGrid w:val="0"/>
        <w:spacing w:line="360" w:lineRule="auto"/>
        <w:ind w:firstLineChars="0"/>
        <w:outlineLvl w:val="0"/>
        <w:rPr>
          <w:rFonts w:ascii="宋体" w:eastAsia="宋体" w:hAnsi="宋体" w:cs="宋体"/>
          <w:b/>
          <w:sz w:val="30"/>
          <w:szCs w:val="30"/>
        </w:rPr>
      </w:pPr>
      <w:r>
        <w:rPr>
          <w:rFonts w:ascii="宋体" w:eastAsia="宋体" w:hAnsi="宋体" w:cs="宋体" w:hint="eastAsia"/>
          <w:b/>
          <w:sz w:val="30"/>
          <w:szCs w:val="30"/>
        </w:rPr>
        <w:t>款项支付需求</w:t>
      </w:r>
    </w:p>
    <w:p w:rsidR="002966FA" w:rsidRDefault="007723C2">
      <w:pPr>
        <w:numPr>
          <w:ilvl w:val="0"/>
          <w:numId w:val="5"/>
        </w:numPr>
        <w:adjustRightInd w:val="0"/>
        <w:snapToGrid w:val="0"/>
        <w:spacing w:line="360" w:lineRule="auto"/>
        <w:ind w:firstLineChars="200" w:firstLine="600"/>
        <w:rPr>
          <w:rFonts w:ascii="宋体" w:eastAsia="宋体" w:hAnsi="宋体" w:cs="宋体"/>
          <w:sz w:val="30"/>
          <w:szCs w:val="30"/>
          <w:lang w:val="zh-CN"/>
        </w:rPr>
      </w:pPr>
      <w:r>
        <w:rPr>
          <w:rFonts w:ascii="宋体" w:eastAsia="宋体" w:hAnsi="宋体" w:cs="宋体" w:hint="eastAsia"/>
          <w:sz w:val="30"/>
          <w:szCs w:val="30"/>
          <w:lang w:val="zh-CN"/>
        </w:rPr>
        <w:t>付款说明：按项目阶段分阶段付款。</w:t>
      </w:r>
      <w:bookmarkStart w:id="1" w:name="_GoBack"/>
      <w:bookmarkEnd w:id="1"/>
    </w:p>
    <w:sectPr w:rsidR="002966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FF8" w:rsidRDefault="00057FF8" w:rsidP="00667954">
      <w:r>
        <w:separator/>
      </w:r>
    </w:p>
  </w:endnote>
  <w:endnote w:type="continuationSeparator" w:id="0">
    <w:p w:rsidR="00057FF8" w:rsidRDefault="00057FF8" w:rsidP="0066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modern"/>
    <w:pitch w:val="fixed"/>
    <w:sig w:usb0="00000000"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FF8" w:rsidRDefault="00057FF8" w:rsidP="00667954">
      <w:r>
        <w:separator/>
      </w:r>
    </w:p>
  </w:footnote>
  <w:footnote w:type="continuationSeparator" w:id="0">
    <w:p w:rsidR="00057FF8" w:rsidRDefault="00057FF8" w:rsidP="00667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2A8A1"/>
    <w:multiLevelType w:val="singleLevel"/>
    <w:tmpl w:val="8D72A8A1"/>
    <w:lvl w:ilvl="0">
      <w:start w:val="1"/>
      <w:numFmt w:val="bullet"/>
      <w:lvlText w:val=""/>
      <w:lvlJc w:val="left"/>
      <w:pPr>
        <w:ind w:left="420" w:hanging="420"/>
      </w:pPr>
      <w:rPr>
        <w:rFonts w:ascii="Wingdings" w:hAnsi="Wingdings" w:hint="default"/>
      </w:rPr>
    </w:lvl>
  </w:abstractNum>
  <w:abstractNum w:abstractNumId="1">
    <w:nsid w:val="A7FB6952"/>
    <w:multiLevelType w:val="singleLevel"/>
    <w:tmpl w:val="A7FB6952"/>
    <w:lvl w:ilvl="0">
      <w:start w:val="1"/>
      <w:numFmt w:val="decimal"/>
      <w:lvlText w:val="%1."/>
      <w:lvlJc w:val="left"/>
      <w:pPr>
        <w:tabs>
          <w:tab w:val="left" w:pos="312"/>
        </w:tabs>
      </w:pPr>
    </w:lvl>
  </w:abstractNum>
  <w:abstractNum w:abstractNumId="2">
    <w:nsid w:val="0D0641F8"/>
    <w:multiLevelType w:val="multilevel"/>
    <w:tmpl w:val="0D0641F8"/>
    <w:lvl w:ilvl="0">
      <w:start w:val="1"/>
      <w:numFmt w:val="japaneseCounting"/>
      <w:lvlText w:val="第%1章"/>
      <w:lvlJc w:val="left"/>
      <w:pPr>
        <w:ind w:left="1756" w:hanging="1116"/>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7E0707A"/>
    <w:multiLevelType w:val="multilevel"/>
    <w:tmpl w:val="27E0707A"/>
    <w:lvl w:ilvl="0">
      <w:start w:val="1"/>
      <w:numFmt w:val="decimal"/>
      <w:lvlText w:val="%1."/>
      <w:lvlJc w:val="left"/>
      <w:pPr>
        <w:tabs>
          <w:tab w:val="left" w:pos="425"/>
        </w:tabs>
        <w:ind w:left="425" w:hanging="425"/>
      </w:pPr>
      <w:rPr>
        <w:rFonts w:hint="eastAsia"/>
      </w:rPr>
    </w:lvl>
    <w:lvl w:ilvl="1">
      <w:start w:val="1"/>
      <w:numFmt w:val="decimal"/>
      <w:pStyle w:val="2"/>
      <w:suff w:val="space"/>
      <w:lvlText w:val="%1.%2"/>
      <w:lvlJc w:val="left"/>
      <w:pPr>
        <w:ind w:left="1418" w:hanging="992"/>
      </w:pPr>
      <w:rPr>
        <w:rFonts w:hint="eastAsia"/>
        <w:b/>
      </w:rPr>
    </w:lvl>
    <w:lvl w:ilvl="2">
      <w:start w:val="3"/>
      <w:numFmt w:val="decimal"/>
      <w:suff w:val="space"/>
      <w:lvlText w:val="%1.%2.%3"/>
      <w:lvlJc w:val="left"/>
      <w:pPr>
        <w:ind w:left="964" w:hanging="737"/>
      </w:pPr>
      <w:rPr>
        <w:rFonts w:hint="eastAsia"/>
        <w:b/>
        <w:i w:val="0"/>
        <w:color w:val="auto"/>
      </w:rPr>
    </w:lvl>
    <w:lvl w:ilvl="3">
      <w:start w:val="1"/>
      <w:numFmt w:val="decimal"/>
      <w:lvlText w:val="%1.%2.%3.%4"/>
      <w:lvlJc w:val="left"/>
      <w:pPr>
        <w:tabs>
          <w:tab w:val="left" w:pos="1021"/>
        </w:tabs>
        <w:ind w:left="340" w:firstLine="0"/>
      </w:pPr>
      <w:rPr>
        <w:rFonts w:hint="eastAsia"/>
        <w:b/>
      </w:rPr>
    </w:lvl>
    <w:lvl w:ilvl="4">
      <w:start w:val="1"/>
      <w:numFmt w:val="decimal"/>
      <w:lvlText w:val="%1.%2.%3.%4.%5"/>
      <w:lvlJc w:val="left"/>
      <w:pPr>
        <w:tabs>
          <w:tab w:val="left" w:pos="1134"/>
        </w:tabs>
        <w:ind w:left="284" w:firstLine="340"/>
      </w:pPr>
      <w:rPr>
        <w:rFonts w:hint="eastAsia"/>
        <w:b/>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4">
    <w:nsid w:val="5F6A1EEE"/>
    <w:multiLevelType w:val="singleLevel"/>
    <w:tmpl w:val="5F6A1EEE"/>
    <w:lvl w:ilvl="0">
      <w:start w:val="1"/>
      <w:numFmt w:val="decimal"/>
      <w:pStyle w:val="3"/>
      <w:lvlText w:val="%1."/>
      <w:lvlJc w:val="left"/>
      <w:pPr>
        <w:tabs>
          <w:tab w:val="left" w:pos="425"/>
        </w:tabs>
        <w:ind w:left="425" w:hanging="425"/>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FA"/>
    <w:rsid w:val="9E7B103F"/>
    <w:rsid w:val="AFF7AFC8"/>
    <w:rsid w:val="CE94E2A9"/>
    <w:rsid w:val="00057FF8"/>
    <w:rsid w:val="000D52F1"/>
    <w:rsid w:val="002966FA"/>
    <w:rsid w:val="003665A1"/>
    <w:rsid w:val="00667954"/>
    <w:rsid w:val="00682FF5"/>
    <w:rsid w:val="006A423D"/>
    <w:rsid w:val="0075550D"/>
    <w:rsid w:val="007723C2"/>
    <w:rsid w:val="007A108F"/>
    <w:rsid w:val="007B2F6C"/>
    <w:rsid w:val="007B733C"/>
    <w:rsid w:val="00A61D0E"/>
    <w:rsid w:val="00B3215E"/>
    <w:rsid w:val="28ED0361"/>
    <w:rsid w:val="398EED12"/>
    <w:rsid w:val="4536001D"/>
    <w:rsid w:val="4AF779DE"/>
    <w:rsid w:val="679A0590"/>
    <w:rsid w:val="708B638E"/>
    <w:rsid w:val="779E4A08"/>
    <w:rsid w:val="77FE94E9"/>
    <w:rsid w:val="7B7C2837"/>
    <w:rsid w:val="7BF76A98"/>
    <w:rsid w:val="7FDE6F00"/>
    <w:rsid w:val="7FFFB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numPr>
        <w:ilvl w:val="1"/>
        <w:numId w:val="1"/>
      </w:numPr>
      <w:spacing w:beforeLines="200" w:before="200" w:afterLines="100" w:after="100"/>
      <w:outlineLvl w:val="1"/>
    </w:pPr>
    <w:rPr>
      <w:rFonts w:ascii="Times New Roman" w:eastAsia="宋体" w:hAnsi="Times New Roman" w:cs="Times New Roman"/>
      <w:b/>
      <w:sz w:val="32"/>
      <w:szCs w:val="24"/>
    </w:rPr>
  </w:style>
  <w:style w:type="paragraph" w:styleId="3">
    <w:name w:val="heading 3"/>
    <w:basedOn w:val="a"/>
    <w:next w:val="21"/>
    <w:qFormat/>
    <w:pPr>
      <w:keepNext/>
      <w:keepLines/>
      <w:numPr>
        <w:numId w:val="2"/>
      </w:numPr>
      <w:tabs>
        <w:tab w:val="left" w:pos="5852"/>
      </w:tabs>
      <w:snapToGrid w:val="0"/>
      <w:spacing w:before="360" w:line="240" w:lineRule="exact"/>
      <w:outlineLvl w:val="2"/>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after="120"/>
      <w:jc w:val="left"/>
    </w:pPr>
    <w:rPr>
      <w:rFonts w:ascii="Times New Roman" w:eastAsia="宋体" w:hAnsi="Times New Roman" w:cs="Times New Roman"/>
      <w:kern w:val="0"/>
      <w:sz w:val="24"/>
      <w:szCs w:val="20"/>
    </w:rPr>
  </w:style>
  <w:style w:type="paragraph" w:customStyle="1" w:styleId="21">
    <w:name w:val="正文首行缩进 21"/>
    <w:basedOn w:val="a4"/>
    <w:qFormat/>
    <w:pPr>
      <w:spacing w:line="300" w:lineRule="auto"/>
      <w:ind w:firstLine="420"/>
    </w:pPr>
  </w:style>
  <w:style w:type="paragraph" w:styleId="a4">
    <w:name w:val="Body Text Indent"/>
    <w:basedOn w:val="a"/>
    <w:semiHidden/>
    <w:qFormat/>
    <w:pPr>
      <w:tabs>
        <w:tab w:val="left" w:pos="9000"/>
      </w:tabs>
      <w:ind w:firstLine="480"/>
    </w:pPr>
    <w:rPr>
      <w:rFonts w:ascii="隶书" w:eastAsia="隶书"/>
      <w:sz w:val="24"/>
    </w:rPr>
  </w:style>
  <w:style w:type="paragraph" w:styleId="a5">
    <w:name w:val="Normal Indent"/>
    <w:basedOn w:val="a"/>
    <w:uiPriority w:val="99"/>
    <w:qFormat/>
    <w:pPr>
      <w:ind w:firstLineChars="200" w:firstLine="420"/>
    </w:pPr>
    <w:rPr>
      <w:rFonts w:ascii="Times New Roman" w:eastAsia="宋体" w:hAnsi="Times New Roman" w:cs="Times New Roman"/>
      <w:szCs w:val="24"/>
    </w:rPr>
  </w:style>
  <w:style w:type="paragraph" w:styleId="a6">
    <w:name w:val="Normal (Web)"/>
    <w:basedOn w:val="a"/>
    <w:uiPriority w:val="99"/>
    <w:unhideWhenUsed/>
    <w:qFormat/>
    <w:pPr>
      <w:widowControl/>
      <w:jc w:val="left"/>
    </w:pPr>
    <w:rPr>
      <w:rFonts w:ascii="宋体" w:eastAsia="宋体" w:hAnsi="宋体" w:cs="宋体"/>
      <w:kern w:val="0"/>
      <w:sz w:val="24"/>
      <w:szCs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18"/>
      <w:szCs w:val="18"/>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61">
    <w:name w:val="font61"/>
    <w:basedOn w:val="a1"/>
    <w:qFormat/>
    <w:rPr>
      <w:rFonts w:ascii="宋体" w:eastAsia="宋体" w:hAnsi="宋体" w:cs="宋体" w:hint="eastAsia"/>
      <w:color w:val="00A3F5"/>
      <w:sz w:val="18"/>
      <w:szCs w:val="18"/>
      <w:u w:val="none"/>
    </w:rPr>
  </w:style>
  <w:style w:type="paragraph" w:customStyle="1" w:styleId="A9">
    <w:name w:val="正文 A"/>
    <w:qFormat/>
    <w:pPr>
      <w:widowControl w:val="0"/>
      <w:jc w:val="both"/>
    </w:pPr>
    <w:rPr>
      <w:rFonts w:eastAsia="Arial Unicode MS" w:hAnsi="Arial Unicode MS" w:cs="Arial Unicode MS"/>
      <w:color w:val="000000"/>
      <w:kern w:val="2"/>
      <w:sz w:val="18"/>
      <w:szCs w:val="18"/>
    </w:rPr>
  </w:style>
  <w:style w:type="paragraph" w:customStyle="1" w:styleId="15">
    <w:name w:val="正文 + 行距: 1.5 倍行距"/>
    <w:basedOn w:val="a"/>
    <w:qFormat/>
    <w:pPr>
      <w:spacing w:line="240" w:lineRule="atLeast"/>
      <w:ind w:firstLineChars="200" w:firstLine="420"/>
      <w:jc w:val="left"/>
    </w:pPr>
    <w:rPr>
      <w:rFonts w:ascii="宋体"/>
      <w:snapToGrid w:val="0"/>
      <w:kern w:val="0"/>
      <w:sz w:val="20"/>
    </w:rPr>
  </w:style>
  <w:style w:type="paragraph" w:customStyle="1" w:styleId="1">
    <w:name w:val="列表段落1"/>
    <w:basedOn w:val="a"/>
    <w:uiPriority w:val="34"/>
    <w:qFormat/>
    <w:pPr>
      <w:widowControl/>
      <w:adjustRightInd w:val="0"/>
      <w:snapToGrid w:val="0"/>
      <w:spacing w:after="200"/>
      <w:ind w:firstLineChars="200" w:firstLine="420"/>
      <w:jc w:val="left"/>
    </w:pPr>
    <w:rPr>
      <w:sz w:val="18"/>
      <w:szCs w:val="18"/>
    </w:rPr>
  </w:style>
  <w:style w:type="paragraph" w:styleId="aa">
    <w:name w:val="Balloon Text"/>
    <w:basedOn w:val="a"/>
    <w:link w:val="Char"/>
    <w:rsid w:val="007723C2"/>
    <w:rPr>
      <w:sz w:val="18"/>
      <w:szCs w:val="18"/>
    </w:rPr>
  </w:style>
  <w:style w:type="character" w:customStyle="1" w:styleId="Char">
    <w:name w:val="批注框文本 Char"/>
    <w:basedOn w:val="a1"/>
    <w:link w:val="aa"/>
    <w:rsid w:val="007723C2"/>
    <w:rPr>
      <w:rFonts w:asciiTheme="minorHAnsi" w:eastAsiaTheme="minorEastAsia" w:hAnsiTheme="minorHAnsi" w:cstheme="minorBidi"/>
      <w:kern w:val="2"/>
      <w:sz w:val="18"/>
      <w:szCs w:val="18"/>
    </w:rPr>
  </w:style>
  <w:style w:type="paragraph" w:styleId="ab">
    <w:name w:val="header"/>
    <w:basedOn w:val="a"/>
    <w:link w:val="Char0"/>
    <w:rsid w:val="006679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b"/>
    <w:rsid w:val="00667954"/>
    <w:rPr>
      <w:rFonts w:asciiTheme="minorHAnsi" w:eastAsiaTheme="minorEastAsia" w:hAnsiTheme="minorHAnsi" w:cstheme="minorBidi"/>
      <w:kern w:val="2"/>
      <w:sz w:val="18"/>
      <w:szCs w:val="18"/>
    </w:rPr>
  </w:style>
  <w:style w:type="paragraph" w:styleId="ac">
    <w:name w:val="footer"/>
    <w:basedOn w:val="a"/>
    <w:link w:val="Char1"/>
    <w:rsid w:val="00667954"/>
    <w:pPr>
      <w:tabs>
        <w:tab w:val="center" w:pos="4153"/>
        <w:tab w:val="right" w:pos="8306"/>
      </w:tabs>
      <w:snapToGrid w:val="0"/>
      <w:jc w:val="left"/>
    </w:pPr>
    <w:rPr>
      <w:sz w:val="18"/>
      <w:szCs w:val="18"/>
    </w:rPr>
  </w:style>
  <w:style w:type="character" w:customStyle="1" w:styleId="Char1">
    <w:name w:val="页脚 Char"/>
    <w:basedOn w:val="a1"/>
    <w:link w:val="ac"/>
    <w:rsid w:val="0066795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numPr>
        <w:ilvl w:val="1"/>
        <w:numId w:val="1"/>
      </w:numPr>
      <w:spacing w:beforeLines="200" w:before="200" w:afterLines="100" w:after="100"/>
      <w:outlineLvl w:val="1"/>
    </w:pPr>
    <w:rPr>
      <w:rFonts w:ascii="Times New Roman" w:eastAsia="宋体" w:hAnsi="Times New Roman" w:cs="Times New Roman"/>
      <w:b/>
      <w:sz w:val="32"/>
      <w:szCs w:val="24"/>
    </w:rPr>
  </w:style>
  <w:style w:type="paragraph" w:styleId="3">
    <w:name w:val="heading 3"/>
    <w:basedOn w:val="a"/>
    <w:next w:val="21"/>
    <w:qFormat/>
    <w:pPr>
      <w:keepNext/>
      <w:keepLines/>
      <w:numPr>
        <w:numId w:val="2"/>
      </w:numPr>
      <w:tabs>
        <w:tab w:val="left" w:pos="5852"/>
      </w:tabs>
      <w:snapToGrid w:val="0"/>
      <w:spacing w:before="360" w:line="240" w:lineRule="exact"/>
      <w:outlineLvl w:val="2"/>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after="120"/>
      <w:jc w:val="left"/>
    </w:pPr>
    <w:rPr>
      <w:rFonts w:ascii="Times New Roman" w:eastAsia="宋体" w:hAnsi="Times New Roman" w:cs="Times New Roman"/>
      <w:kern w:val="0"/>
      <w:sz w:val="24"/>
      <w:szCs w:val="20"/>
    </w:rPr>
  </w:style>
  <w:style w:type="paragraph" w:customStyle="1" w:styleId="21">
    <w:name w:val="正文首行缩进 21"/>
    <w:basedOn w:val="a4"/>
    <w:qFormat/>
    <w:pPr>
      <w:spacing w:line="300" w:lineRule="auto"/>
      <w:ind w:firstLine="420"/>
    </w:pPr>
  </w:style>
  <w:style w:type="paragraph" w:styleId="a4">
    <w:name w:val="Body Text Indent"/>
    <w:basedOn w:val="a"/>
    <w:semiHidden/>
    <w:qFormat/>
    <w:pPr>
      <w:tabs>
        <w:tab w:val="left" w:pos="9000"/>
      </w:tabs>
      <w:ind w:firstLine="480"/>
    </w:pPr>
    <w:rPr>
      <w:rFonts w:ascii="隶书" w:eastAsia="隶书"/>
      <w:sz w:val="24"/>
    </w:rPr>
  </w:style>
  <w:style w:type="paragraph" w:styleId="a5">
    <w:name w:val="Normal Indent"/>
    <w:basedOn w:val="a"/>
    <w:uiPriority w:val="99"/>
    <w:qFormat/>
    <w:pPr>
      <w:ind w:firstLineChars="200" w:firstLine="420"/>
    </w:pPr>
    <w:rPr>
      <w:rFonts w:ascii="Times New Roman" w:eastAsia="宋体" w:hAnsi="Times New Roman" w:cs="Times New Roman"/>
      <w:szCs w:val="24"/>
    </w:rPr>
  </w:style>
  <w:style w:type="paragraph" w:styleId="a6">
    <w:name w:val="Normal (Web)"/>
    <w:basedOn w:val="a"/>
    <w:uiPriority w:val="99"/>
    <w:unhideWhenUsed/>
    <w:qFormat/>
    <w:pPr>
      <w:widowControl/>
      <w:jc w:val="left"/>
    </w:pPr>
    <w:rPr>
      <w:rFonts w:ascii="宋体" w:eastAsia="宋体" w:hAnsi="宋体" w:cs="宋体"/>
      <w:kern w:val="0"/>
      <w:sz w:val="24"/>
      <w:szCs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18"/>
      <w:szCs w:val="18"/>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61">
    <w:name w:val="font61"/>
    <w:basedOn w:val="a1"/>
    <w:qFormat/>
    <w:rPr>
      <w:rFonts w:ascii="宋体" w:eastAsia="宋体" w:hAnsi="宋体" w:cs="宋体" w:hint="eastAsia"/>
      <w:color w:val="00A3F5"/>
      <w:sz w:val="18"/>
      <w:szCs w:val="18"/>
      <w:u w:val="none"/>
    </w:rPr>
  </w:style>
  <w:style w:type="paragraph" w:customStyle="1" w:styleId="A9">
    <w:name w:val="正文 A"/>
    <w:qFormat/>
    <w:pPr>
      <w:widowControl w:val="0"/>
      <w:jc w:val="both"/>
    </w:pPr>
    <w:rPr>
      <w:rFonts w:eastAsia="Arial Unicode MS" w:hAnsi="Arial Unicode MS" w:cs="Arial Unicode MS"/>
      <w:color w:val="000000"/>
      <w:kern w:val="2"/>
      <w:sz w:val="18"/>
      <w:szCs w:val="18"/>
    </w:rPr>
  </w:style>
  <w:style w:type="paragraph" w:customStyle="1" w:styleId="15">
    <w:name w:val="正文 + 行距: 1.5 倍行距"/>
    <w:basedOn w:val="a"/>
    <w:qFormat/>
    <w:pPr>
      <w:spacing w:line="240" w:lineRule="atLeast"/>
      <w:ind w:firstLineChars="200" w:firstLine="420"/>
      <w:jc w:val="left"/>
    </w:pPr>
    <w:rPr>
      <w:rFonts w:ascii="宋体"/>
      <w:snapToGrid w:val="0"/>
      <w:kern w:val="0"/>
      <w:sz w:val="20"/>
    </w:rPr>
  </w:style>
  <w:style w:type="paragraph" w:customStyle="1" w:styleId="1">
    <w:name w:val="列表段落1"/>
    <w:basedOn w:val="a"/>
    <w:uiPriority w:val="34"/>
    <w:qFormat/>
    <w:pPr>
      <w:widowControl/>
      <w:adjustRightInd w:val="0"/>
      <w:snapToGrid w:val="0"/>
      <w:spacing w:after="200"/>
      <w:ind w:firstLineChars="200" w:firstLine="420"/>
      <w:jc w:val="left"/>
    </w:pPr>
    <w:rPr>
      <w:sz w:val="18"/>
      <w:szCs w:val="18"/>
    </w:rPr>
  </w:style>
  <w:style w:type="paragraph" w:styleId="aa">
    <w:name w:val="Balloon Text"/>
    <w:basedOn w:val="a"/>
    <w:link w:val="Char"/>
    <w:rsid w:val="007723C2"/>
    <w:rPr>
      <w:sz w:val="18"/>
      <w:szCs w:val="18"/>
    </w:rPr>
  </w:style>
  <w:style w:type="character" w:customStyle="1" w:styleId="Char">
    <w:name w:val="批注框文本 Char"/>
    <w:basedOn w:val="a1"/>
    <w:link w:val="aa"/>
    <w:rsid w:val="007723C2"/>
    <w:rPr>
      <w:rFonts w:asciiTheme="minorHAnsi" w:eastAsiaTheme="minorEastAsia" w:hAnsiTheme="minorHAnsi" w:cstheme="minorBidi"/>
      <w:kern w:val="2"/>
      <w:sz w:val="18"/>
      <w:szCs w:val="18"/>
    </w:rPr>
  </w:style>
  <w:style w:type="paragraph" w:styleId="ab">
    <w:name w:val="header"/>
    <w:basedOn w:val="a"/>
    <w:link w:val="Char0"/>
    <w:rsid w:val="006679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b"/>
    <w:rsid w:val="00667954"/>
    <w:rPr>
      <w:rFonts w:asciiTheme="minorHAnsi" w:eastAsiaTheme="minorEastAsia" w:hAnsiTheme="minorHAnsi" w:cstheme="minorBidi"/>
      <w:kern w:val="2"/>
      <w:sz w:val="18"/>
      <w:szCs w:val="18"/>
    </w:rPr>
  </w:style>
  <w:style w:type="paragraph" w:styleId="ac">
    <w:name w:val="footer"/>
    <w:basedOn w:val="a"/>
    <w:link w:val="Char1"/>
    <w:rsid w:val="00667954"/>
    <w:pPr>
      <w:tabs>
        <w:tab w:val="center" w:pos="4153"/>
        <w:tab w:val="right" w:pos="8306"/>
      </w:tabs>
      <w:snapToGrid w:val="0"/>
      <w:jc w:val="left"/>
    </w:pPr>
    <w:rPr>
      <w:sz w:val="18"/>
      <w:szCs w:val="18"/>
    </w:rPr>
  </w:style>
  <w:style w:type="character" w:customStyle="1" w:styleId="Char1">
    <w:name w:val="页脚 Char"/>
    <w:basedOn w:val="a1"/>
    <w:link w:val="ac"/>
    <w:rsid w:val="006679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734</Words>
  <Characters>4186</Characters>
  <Application>Microsoft Office Word</Application>
  <DocSecurity>0</DocSecurity>
  <Lines>34</Lines>
  <Paragraphs>9</Paragraphs>
  <ScaleCrop>false</ScaleCrop>
  <Company>神州网信技术有限公司</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张长谋</cp:lastModifiedBy>
  <cp:revision>5</cp:revision>
  <dcterms:created xsi:type="dcterms:W3CDTF">2025-09-25T02:44:00Z</dcterms:created>
  <dcterms:modified xsi:type="dcterms:W3CDTF">2025-10-09T02:34:00Z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eyJoZGlkIjoiZTg2NTYwNDllOWY2MDQ3MTkyOTcxNzhlNDc4NmYxMzkiLCJ1c2VySWQiOiI3MzEwNjQxNDMifQ==</vt:lpwstr>
  </property>
  <property fmtid="{D5CDD505-2E9C-101B-9397-08002B2CF9AE}" pid="4" name="ICV">
    <vt:lpwstr>57F9376AB166879FB74ABA689D470A1C_43</vt:lpwstr>
  </property>
</Properties>
</file>