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研发楼车库出入口车闸服务需求</w:t>
      </w:r>
    </w:p>
    <w:p>
      <w:pPr>
        <w:jc w:val="center"/>
        <w:rPr>
          <w:rFonts w:hint="eastAsia" w:asciiTheme="majorEastAsia" w:hAnsiTheme="majorEastAsia" w:eastAsiaTheme="majorEastAsia" w:cstheme="majorEastAsia"/>
          <w:b/>
          <w:bCs/>
          <w:sz w:val="44"/>
          <w:szCs w:val="44"/>
          <w:lang w:val="en-US" w:eastAsia="zh-CN"/>
        </w:rPr>
      </w:pPr>
    </w:p>
    <w:p>
      <w:pPr>
        <w:numPr>
          <w:ilvl w:val="0"/>
          <w:numId w:val="1"/>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项目概况</w:t>
      </w:r>
    </w:p>
    <w:p>
      <w:pPr>
        <w:widowControl/>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宋体" w:hAnsi="宋体"/>
          <w:bCs/>
          <w:sz w:val="28"/>
          <w:szCs w:val="28"/>
          <w:u w:val="none"/>
        </w:rPr>
        <w:t>福建省厦门市软件园二期建行研发楼</w:t>
      </w:r>
      <w:r>
        <w:rPr>
          <w:rFonts w:hint="eastAsia" w:asciiTheme="minorEastAsia" w:hAnsiTheme="minorEastAsia" w:cstheme="minorEastAsia"/>
          <w:sz w:val="28"/>
          <w:szCs w:val="28"/>
          <w:lang w:val="en-US" w:eastAsia="zh-CN"/>
        </w:rPr>
        <w:t>车辆出入系统（车库出入口闸机、监控室车闸系统主机）</w:t>
      </w:r>
      <w:r>
        <w:rPr>
          <w:rFonts w:hint="eastAsia" w:asciiTheme="minorEastAsia" w:hAnsiTheme="minorEastAsia" w:eastAsiaTheme="minorEastAsia" w:cstheme="minorEastAsia"/>
          <w:sz w:val="28"/>
          <w:szCs w:val="28"/>
          <w:lang w:val="en-US" w:eastAsia="zh-CN"/>
        </w:rPr>
        <w:t>地址：思明区观日路38号</w:t>
      </w:r>
    </w:p>
    <w:p>
      <w:pPr>
        <w:keepNext w:val="0"/>
        <w:keepLines w:val="0"/>
        <w:widowControl/>
        <w:numPr>
          <w:ilvl w:val="0"/>
          <w:numId w:val="1"/>
        </w:numPr>
        <w:suppressLineNumbers w:val="0"/>
        <w:ind w:left="0" w:leftChars="0" w:firstLine="0" w:firstLineChars="0"/>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服务供应商要求</w:t>
      </w:r>
    </w:p>
    <w:p>
      <w:pPr>
        <w:numPr>
          <w:ilvl w:val="0"/>
          <w:numId w:val="2"/>
        </w:numPr>
        <w:jc w:val="left"/>
        <w:rPr>
          <w:rFonts w:hint="eastAsia" w:ascii="宋体" w:hAnsi="宋体"/>
          <w:sz w:val="28"/>
          <w:szCs w:val="28"/>
        </w:rPr>
      </w:pPr>
      <w:r>
        <w:rPr>
          <w:rFonts w:hint="eastAsia" w:ascii="宋体" w:hAnsi="宋体"/>
          <w:sz w:val="28"/>
          <w:szCs w:val="28"/>
        </w:rPr>
        <w:t>要求具备《安防工程企业资质证书》或机电设备安装维修相关资质确保符合行业监管规范。</w:t>
      </w:r>
    </w:p>
    <w:p>
      <w:pPr>
        <w:numPr>
          <w:ilvl w:val="0"/>
          <w:numId w:val="0"/>
        </w:numPr>
        <w:jc w:val="left"/>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优先选择科拓官方授权的维保服务商，</w:t>
      </w:r>
      <w:r>
        <w:rPr>
          <w:rFonts w:hint="eastAsia" w:ascii="宋体" w:hAnsi="宋体"/>
          <w:sz w:val="28"/>
          <w:szCs w:val="28"/>
          <w:lang w:val="en-US" w:eastAsia="zh-CN"/>
        </w:rPr>
        <w:t>具备科拓</w:t>
      </w:r>
      <w:r>
        <w:rPr>
          <w:rFonts w:hint="eastAsia" w:ascii="宋体" w:hAnsi="宋体"/>
          <w:sz w:val="28"/>
          <w:szCs w:val="28"/>
        </w:rPr>
        <w:t>原厂技术支持、正品配件供应等保障。</w:t>
      </w:r>
    </w:p>
    <w:p>
      <w:pPr>
        <w:jc w:val="left"/>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维保团队成员需熟悉科拓车闸系统（如道闸机、车牌识别相机、控制主板等核心组件）的工作原理，持有科拓官方颁发的技术认证证书；具备故障诊断、硬件维修、软件调试（含系统升级、参数配置）的实操能力。</w:t>
      </w:r>
    </w:p>
    <w:p>
      <w:pPr>
        <w:jc w:val="left"/>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能应对常见故障（如道闸起落异常、识别率低、系统离线等），并具备处理复杂问题（如与停车场管理系统联动故障、硬件兼容性问题）的技术方案，了解科拓系统的最新技术迭代和维保标准。</w:t>
      </w:r>
    </w:p>
    <w:p>
      <w:pPr>
        <w:jc w:val="left"/>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配备专业的检测工具（如万用表、网络测试仪等），并能快速调取科拓原厂或合规渠道的正品配件，避免因配件质量导致维保后频繁出问题。</w:t>
      </w:r>
    </w:p>
    <w:p>
      <w:pPr>
        <w:jc w:val="left"/>
        <w:rPr>
          <w:rFonts w:hint="default" w:ascii="宋体" w:hAnsi="宋体" w:eastAsiaTheme="minorEastAsia"/>
          <w:b/>
          <w:bCs/>
          <w:sz w:val="28"/>
          <w:szCs w:val="28"/>
          <w:lang w:val="en-US" w:eastAsia="zh-CN"/>
        </w:rPr>
      </w:pPr>
      <w:r>
        <w:rPr>
          <w:rFonts w:hint="eastAsia" w:ascii="宋体" w:hAnsi="宋体"/>
          <w:b/>
          <w:bCs/>
          <w:sz w:val="28"/>
          <w:szCs w:val="28"/>
          <w:lang w:val="en-US" w:eastAsia="zh-CN"/>
        </w:rPr>
        <w:t>三、服务品类</w:t>
      </w:r>
    </w:p>
    <w:p>
      <w:pPr>
        <w:jc w:val="left"/>
        <w:rPr>
          <w:rFonts w:hint="eastAsia" w:ascii="宋体" w:hAnsi="宋体"/>
          <w:sz w:val="28"/>
          <w:szCs w:val="28"/>
        </w:rPr>
      </w:pPr>
      <w:r>
        <w:rPr>
          <w:rFonts w:hint="eastAsia" w:ascii="宋体" w:hAnsi="宋体"/>
          <w:sz w:val="28"/>
          <w:szCs w:val="28"/>
        </w:rPr>
        <w:t>对</w:t>
      </w:r>
      <w:r>
        <w:rPr>
          <w:rFonts w:hint="eastAsia" w:ascii="宋体" w:hAnsi="宋体"/>
          <w:sz w:val="28"/>
          <w:szCs w:val="28"/>
          <w:lang w:val="en-US" w:eastAsia="zh-CN"/>
        </w:rPr>
        <w:t>建行研发楼科拓</w:t>
      </w:r>
      <w:r>
        <w:rPr>
          <w:rFonts w:hint="eastAsia" w:ascii="宋体" w:hAnsi="宋体"/>
          <w:sz w:val="28"/>
          <w:szCs w:val="28"/>
        </w:rPr>
        <w:t>停车场管理系统所属设备线路进行维护</w:t>
      </w:r>
    </w:p>
    <w:p>
      <w:pPr>
        <w:numPr>
          <w:ilvl w:val="0"/>
          <w:numId w:val="1"/>
        </w:numPr>
        <w:ind w:left="0" w:leftChars="0" w:firstLine="0" w:firstLineChars="0"/>
        <w:jc w:val="left"/>
        <w:rPr>
          <w:rFonts w:hint="eastAsia" w:ascii="宋体" w:hAnsi="宋体"/>
          <w:b/>
          <w:bCs/>
          <w:sz w:val="28"/>
          <w:szCs w:val="28"/>
          <w:lang w:val="en-US" w:eastAsia="zh-CN"/>
        </w:rPr>
      </w:pPr>
      <w:r>
        <w:rPr>
          <w:rFonts w:hint="eastAsia" w:ascii="宋体" w:hAnsi="宋体"/>
          <w:b/>
          <w:bCs/>
          <w:sz w:val="28"/>
          <w:szCs w:val="28"/>
          <w:lang w:val="en-US" w:eastAsia="zh-CN"/>
        </w:rPr>
        <w:t>服务内容</w:t>
      </w:r>
    </w:p>
    <w:p>
      <w:pPr>
        <w:numPr>
          <w:ilvl w:val="0"/>
          <w:numId w:val="0"/>
        </w:numPr>
        <w:ind w:leftChars="0"/>
        <w:jc w:val="left"/>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1、</w:t>
      </w:r>
      <w:r>
        <w:rPr>
          <w:rFonts w:hint="eastAsia" w:asciiTheme="minorEastAsia" w:hAnsiTheme="minorEastAsia" w:eastAsiaTheme="minorEastAsia" w:cstheme="minorEastAsia"/>
          <w:bCs/>
          <w:sz w:val="28"/>
          <w:szCs w:val="28"/>
        </w:rPr>
        <w:t>紧急故障抢修，表现为：系统瘫痪，此故障的响应时间如下：</w:t>
      </w:r>
    </w:p>
    <w:p>
      <w:pPr>
        <w:widowControl/>
        <w:numPr>
          <w:ilvl w:val="0"/>
          <w:numId w:val="0"/>
        </w:numPr>
        <w:spacing w:line="360" w:lineRule="auto"/>
        <w:jc w:val="left"/>
        <w:rPr>
          <w:rFonts w:hint="eastAsia" w:asciiTheme="minorEastAsia" w:hAnsiTheme="minorEastAsia" w:eastAsiaTheme="minorEastAsia" w:cstheme="minorEastAsia"/>
          <w:color w:val="000000"/>
          <w:kern w:val="0"/>
          <w:sz w:val="28"/>
          <w:szCs w:val="28"/>
          <w:highlight w:val="none"/>
          <w:lang w:bidi="ar"/>
        </w:rPr>
      </w:pPr>
      <w:r>
        <w:rPr>
          <w:rFonts w:hint="eastAsia" w:asciiTheme="minorEastAsia" w:hAnsiTheme="minorEastAsia" w:eastAsiaTheme="minorEastAsia" w:cstheme="minorEastAsia"/>
          <w:color w:val="000000"/>
          <w:kern w:val="0"/>
          <w:sz w:val="28"/>
          <w:szCs w:val="28"/>
          <w:lang w:bidi="ar"/>
        </w:rPr>
        <w:t>周一至周五</w:t>
      </w:r>
      <w:r>
        <w:rPr>
          <w:rFonts w:hint="eastAsia" w:asciiTheme="minorEastAsia" w:hAnsiTheme="minorEastAsia" w:eastAsiaTheme="minorEastAsia" w:cstheme="minorEastAsia"/>
          <w:color w:val="000000"/>
          <w:kern w:val="0"/>
          <w:sz w:val="28"/>
          <w:szCs w:val="28"/>
          <w:highlight w:val="none"/>
          <w:lang w:bidi="ar"/>
        </w:rPr>
        <w:t>9:00-18:00响应时间为2小时内到达现场进行抢修。</w:t>
      </w:r>
    </w:p>
    <w:p>
      <w:pPr>
        <w:widowControl/>
        <w:numPr>
          <w:ilvl w:val="0"/>
          <w:numId w:val="0"/>
        </w:numPr>
        <w:spacing w:line="360" w:lineRule="auto"/>
        <w:jc w:val="left"/>
        <w:rPr>
          <w:rFonts w:hint="eastAsia" w:asciiTheme="minorEastAsia" w:hAnsiTheme="minorEastAsia" w:eastAsiaTheme="minorEastAsia" w:cstheme="minorEastAsia"/>
          <w:color w:val="000000"/>
          <w:kern w:val="0"/>
          <w:sz w:val="28"/>
          <w:szCs w:val="28"/>
          <w:highlight w:val="none"/>
          <w:lang w:bidi="ar"/>
        </w:rPr>
      </w:pPr>
      <w:r>
        <w:rPr>
          <w:rFonts w:hint="eastAsia" w:asciiTheme="minorEastAsia" w:hAnsiTheme="minorEastAsia" w:eastAsiaTheme="minorEastAsia" w:cstheme="minorEastAsia"/>
          <w:color w:val="000000"/>
          <w:kern w:val="0"/>
          <w:sz w:val="28"/>
          <w:szCs w:val="28"/>
          <w:highlight w:val="none"/>
          <w:lang w:bidi="ar"/>
        </w:rPr>
        <w:t>周末、国家法定节日9:00-18:00响应时间为8小时以内到现场进行抢修。</w:t>
      </w:r>
    </w:p>
    <w:p>
      <w:pPr>
        <w:widowControl/>
        <w:numPr>
          <w:ilvl w:val="0"/>
          <w:numId w:val="2"/>
        </w:numPr>
        <w:spacing w:line="360" w:lineRule="auto"/>
        <w:ind w:left="0" w:leftChars="0" w:firstLine="0" w:firstLineChars="0"/>
        <w:jc w:val="left"/>
        <w:rPr>
          <w:rFonts w:hint="eastAsia" w:asciiTheme="minorEastAsia" w:hAnsiTheme="minorEastAsia" w:eastAsiaTheme="minorEastAsia" w:cstheme="minorEastAsia"/>
          <w:color w:val="000000"/>
          <w:kern w:val="0"/>
          <w:sz w:val="28"/>
          <w:szCs w:val="28"/>
          <w:lang w:bidi="ar"/>
        </w:rPr>
      </w:pPr>
      <w:r>
        <w:rPr>
          <w:rFonts w:hint="eastAsia" w:asciiTheme="minorEastAsia" w:hAnsiTheme="minorEastAsia" w:eastAsiaTheme="minorEastAsia" w:cstheme="minorEastAsia"/>
          <w:color w:val="000000"/>
          <w:kern w:val="0"/>
          <w:sz w:val="28"/>
          <w:szCs w:val="28"/>
          <w:highlight w:val="none"/>
          <w:lang w:bidi="ar"/>
        </w:rPr>
        <w:t>非工作时间段18:00-次日9:00响应时</w:t>
      </w:r>
      <w:r>
        <w:rPr>
          <w:rFonts w:hint="eastAsia" w:asciiTheme="minorEastAsia" w:hAnsiTheme="minorEastAsia" w:eastAsiaTheme="minorEastAsia" w:cstheme="minorEastAsia"/>
          <w:color w:val="000000"/>
          <w:kern w:val="0"/>
          <w:sz w:val="28"/>
          <w:szCs w:val="28"/>
          <w:lang w:bidi="ar"/>
        </w:rPr>
        <w:t>间为次日上午10时前到达现场进行抢修。</w:t>
      </w:r>
    </w:p>
    <w:p>
      <w:pPr>
        <w:widowControl/>
        <w:numPr>
          <w:ilvl w:val="0"/>
          <w:numId w:val="0"/>
        </w:numPr>
        <w:spacing w:line="360" w:lineRule="auto"/>
        <w:ind w:leftChars="0"/>
        <w:jc w:val="left"/>
        <w:rPr>
          <w:rFonts w:hint="eastAsia" w:asciiTheme="minorEastAsia" w:hAnsiTheme="minorEastAsia" w:eastAsiaTheme="minorEastAsia" w:cstheme="minorEastAsia"/>
          <w:color w:val="000000"/>
          <w:kern w:val="0"/>
          <w:sz w:val="28"/>
          <w:szCs w:val="28"/>
          <w:lang w:bidi="ar"/>
        </w:rPr>
      </w:pPr>
      <w:r>
        <w:rPr>
          <w:rFonts w:hint="eastAsia" w:asciiTheme="minorEastAsia" w:hAnsiTheme="minorEastAsia" w:cstheme="minorEastAsia"/>
          <w:color w:val="000000"/>
          <w:kern w:val="0"/>
          <w:sz w:val="28"/>
          <w:szCs w:val="28"/>
          <w:lang w:val="en-US" w:eastAsia="zh-CN" w:bidi="ar"/>
        </w:rPr>
        <w:t>3、</w:t>
      </w:r>
      <w:r>
        <w:rPr>
          <w:rFonts w:hint="eastAsia" w:asciiTheme="minorEastAsia" w:hAnsiTheme="minorEastAsia" w:eastAsiaTheme="minorEastAsia" w:cstheme="minorEastAsia"/>
          <w:color w:val="000000"/>
          <w:kern w:val="0"/>
          <w:sz w:val="28"/>
          <w:szCs w:val="28"/>
          <w:lang w:bidi="ar"/>
        </w:rPr>
        <w:t>一般故障的维修，表现为：个别设备故障、损坏等不影响整体系统使用，即紧急故障外的故障，此故障维修响应时间如下：</w:t>
      </w:r>
    </w:p>
    <w:p>
      <w:pPr>
        <w:widowControl/>
        <w:numPr>
          <w:ilvl w:val="0"/>
          <w:numId w:val="0"/>
        </w:numPr>
        <w:spacing w:line="360" w:lineRule="auto"/>
        <w:jc w:val="left"/>
        <w:rPr>
          <w:rFonts w:hint="eastAsia" w:asciiTheme="minorEastAsia" w:hAnsiTheme="minorEastAsia" w:eastAsiaTheme="minorEastAsia" w:cstheme="minorEastAsia"/>
          <w:color w:val="000000"/>
          <w:kern w:val="0"/>
          <w:sz w:val="28"/>
          <w:szCs w:val="28"/>
          <w:lang w:bidi="ar"/>
        </w:rPr>
      </w:pPr>
      <w:r>
        <w:rPr>
          <w:rFonts w:hint="eastAsia" w:asciiTheme="minorEastAsia" w:hAnsiTheme="minorEastAsia" w:cstheme="minorEastAsia"/>
          <w:color w:val="000000"/>
          <w:kern w:val="0"/>
          <w:sz w:val="28"/>
          <w:szCs w:val="28"/>
          <w:lang w:val="en-US" w:eastAsia="zh-CN" w:bidi="ar"/>
        </w:rPr>
        <w:t>4、</w:t>
      </w:r>
      <w:r>
        <w:rPr>
          <w:rFonts w:hint="eastAsia" w:asciiTheme="minorEastAsia" w:hAnsiTheme="minorEastAsia" w:eastAsiaTheme="minorEastAsia" w:cstheme="minorEastAsia"/>
          <w:color w:val="000000"/>
          <w:kern w:val="0"/>
          <w:sz w:val="28"/>
          <w:szCs w:val="28"/>
          <w:lang w:bidi="ar"/>
        </w:rPr>
        <w:t>周一至周五响应时间为24小时内到达现场进行抢修。</w:t>
      </w:r>
    </w:p>
    <w:p>
      <w:pPr>
        <w:widowControl/>
        <w:numPr>
          <w:ilvl w:val="0"/>
          <w:numId w:val="0"/>
        </w:numPr>
        <w:spacing w:line="360" w:lineRule="auto"/>
        <w:jc w:val="left"/>
        <w:rPr>
          <w:rFonts w:hint="eastAsia" w:asciiTheme="minorEastAsia" w:hAnsiTheme="minorEastAsia" w:eastAsiaTheme="minorEastAsia" w:cstheme="minorEastAsia"/>
          <w:color w:val="000000"/>
          <w:kern w:val="0"/>
          <w:sz w:val="28"/>
          <w:szCs w:val="28"/>
          <w:lang w:bidi="ar"/>
        </w:rPr>
      </w:pPr>
      <w:r>
        <w:rPr>
          <w:rFonts w:hint="eastAsia" w:asciiTheme="minorEastAsia" w:hAnsiTheme="minorEastAsia" w:cstheme="minorEastAsia"/>
          <w:color w:val="000000"/>
          <w:kern w:val="0"/>
          <w:sz w:val="28"/>
          <w:szCs w:val="28"/>
          <w:lang w:val="en-US" w:eastAsia="zh-CN" w:bidi="ar"/>
        </w:rPr>
        <w:t>5、</w:t>
      </w:r>
      <w:r>
        <w:rPr>
          <w:rFonts w:hint="eastAsia" w:asciiTheme="minorEastAsia" w:hAnsiTheme="minorEastAsia" w:eastAsiaTheme="minorEastAsia" w:cstheme="minorEastAsia"/>
          <w:color w:val="000000"/>
          <w:kern w:val="0"/>
          <w:sz w:val="28"/>
          <w:szCs w:val="28"/>
          <w:lang w:bidi="ar"/>
        </w:rPr>
        <w:t>周末、国家法定节日响应时间为48小时以内到达现场进行抢修。</w:t>
      </w:r>
    </w:p>
    <w:p>
      <w:pPr>
        <w:widowControl/>
        <w:numPr>
          <w:ilvl w:val="0"/>
          <w:numId w:val="0"/>
        </w:numPr>
        <w:spacing w:line="360" w:lineRule="auto"/>
        <w:jc w:val="left"/>
        <w:rPr>
          <w:rFonts w:hint="eastAsia" w:asciiTheme="minorEastAsia" w:hAnsiTheme="minorEastAsia" w:cstheme="minorEastAsia"/>
          <w:color w:val="FF0000"/>
          <w:kern w:val="0"/>
          <w:sz w:val="28"/>
          <w:szCs w:val="28"/>
          <w:lang w:val="en-US" w:eastAsia="zh-CN" w:bidi="ar"/>
        </w:rPr>
      </w:pPr>
      <w:r>
        <w:rPr>
          <w:rFonts w:hint="eastAsia" w:asciiTheme="minorEastAsia" w:hAnsiTheme="minorEastAsia" w:cstheme="minorEastAsia"/>
          <w:color w:val="FF0000"/>
          <w:kern w:val="0"/>
          <w:sz w:val="28"/>
          <w:szCs w:val="28"/>
          <w:lang w:val="en-US" w:eastAsia="zh-CN" w:bidi="ar"/>
        </w:rPr>
        <w:t>6、如有设备损坏维修期较长，需提供备用设备用来顶替损坏设备暂时使用。</w:t>
      </w:r>
    </w:p>
    <w:p>
      <w:pPr>
        <w:spacing w:line="360" w:lineRule="auto"/>
        <w:rPr>
          <w:rFonts w:hint="default" w:asciiTheme="minorEastAsia" w:hAnsiTheme="minorEastAsia" w:cstheme="minorEastAsia"/>
          <w:color w:val="FF0000"/>
          <w:kern w:val="0"/>
          <w:sz w:val="28"/>
          <w:szCs w:val="28"/>
          <w:lang w:val="en-US" w:eastAsia="zh-CN" w:bidi="ar"/>
        </w:rPr>
      </w:pPr>
      <w:r>
        <w:rPr>
          <w:rFonts w:hint="eastAsia" w:asciiTheme="minorEastAsia" w:hAnsiTheme="minorEastAsia" w:cstheme="minorEastAsia"/>
          <w:b w:val="0"/>
          <w:bCs w:val="0"/>
          <w:color w:val="FF0000"/>
          <w:sz w:val="28"/>
          <w:szCs w:val="28"/>
          <w:lang w:val="en-US" w:eastAsia="zh-CN"/>
        </w:rPr>
        <w:t>7、车闸设备自然老化、设备寿命到期由乙方免费更换，旧设备所属权归甲方所有。</w:t>
      </w:r>
    </w:p>
    <w:p>
      <w:pPr>
        <w:snapToGrid w:val="0"/>
        <w:spacing w:line="360" w:lineRule="auto"/>
        <w:ind w:firstLine="562" w:firstLineChars="200"/>
        <w:jc w:val="left"/>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lang w:val="en-US" w:eastAsia="zh-CN"/>
        </w:rPr>
        <w:t>四、</w:t>
      </w:r>
      <w:r>
        <w:rPr>
          <w:rFonts w:hint="eastAsia" w:asciiTheme="majorEastAsia" w:hAnsiTheme="majorEastAsia" w:eastAsiaTheme="majorEastAsia" w:cstheme="majorEastAsia"/>
          <w:b/>
          <w:sz w:val="28"/>
          <w:szCs w:val="28"/>
        </w:rPr>
        <w:t>违约责任</w:t>
      </w:r>
    </w:p>
    <w:p>
      <w:pPr>
        <w:spacing w:line="520" w:lineRule="exact"/>
        <w:ind w:firstLine="567"/>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rPr>
        <w:t>若乙方无特殊原因和充分理由未按计划执行维护服务工作，甲方每次开具违规通知单给乙方后，乙方收到违规通知单后，如未向甲方提供充分违规理由的，则乙方应向甲方支付违约金人民币壹佰元整（￥100）。</w:t>
      </w:r>
    </w:p>
    <w:p>
      <w:pPr>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2</w:t>
      </w:r>
      <w:r>
        <w:rPr>
          <w:rFonts w:hint="eastAsia" w:asciiTheme="minorEastAsia" w:hAnsi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rPr>
        <w:t>若甲方未按合同约定的时间向乙方支付应付的款项，则</w:t>
      </w:r>
      <w:r>
        <w:rPr>
          <w:rFonts w:hint="eastAsia" w:asciiTheme="minorEastAsia" w:hAnsiTheme="minorEastAsia" w:eastAsiaTheme="minorEastAsia" w:cstheme="minorEastAsia"/>
          <w:sz w:val="28"/>
          <w:szCs w:val="28"/>
        </w:rPr>
        <w:t>每逾期一日，甲方按合同总金额的万分之五向乙方支付违约金，乙方有权拒绝提供维护服务；逾期超过三十日的，甲方应向乙方支付合同总价款20%的违约金，并赔偿因此给乙方造成的一切损失，且乙方有权解除本合同。</w:t>
      </w:r>
    </w:p>
    <w:p>
      <w:pPr>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3、</w:t>
      </w:r>
      <w:r>
        <w:rPr>
          <w:rFonts w:hint="eastAsia" w:asciiTheme="minorEastAsia" w:hAnsiTheme="minorEastAsia" w:eastAsiaTheme="minorEastAsia" w:cstheme="minorEastAsia"/>
          <w:sz w:val="28"/>
          <w:szCs w:val="28"/>
        </w:rPr>
        <w:t>甲、乙双方任何一方擅自解除本合同的，应向对方支付本合同总金额20%的违约金，并赔偿因此给对方造成的一切损失。</w:t>
      </w:r>
    </w:p>
    <w:p>
      <w:pPr>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rPr>
        <w:t>本合同所指的损失为守约方为履行合同所实际支出的费用及因本合同起诉所支出的所有费用。</w:t>
      </w:r>
    </w:p>
    <w:p>
      <w:pPr>
        <w:numPr>
          <w:ilvl w:val="0"/>
          <w:numId w:val="0"/>
        </w:numPr>
        <w:rPr>
          <w:rFonts w:hint="eastAsia"/>
          <w:b/>
          <w:sz w:val="28"/>
          <w:szCs w:val="28"/>
          <w:lang w:val="en-US" w:eastAsia="zh-CN"/>
        </w:rPr>
      </w:pPr>
      <w:bookmarkStart w:id="0" w:name="_GoBack"/>
      <w:bookmarkEnd w:id="0"/>
      <w:r>
        <w:rPr>
          <w:rFonts w:hint="eastAsia"/>
          <w:b/>
          <w:sz w:val="28"/>
          <w:szCs w:val="28"/>
          <w:lang w:val="en-US" w:eastAsia="zh-CN"/>
        </w:rPr>
        <w:t>七、附件</w:t>
      </w:r>
    </w:p>
    <w:p>
      <w:pPr>
        <w:numPr>
          <w:ilvl w:val="0"/>
          <w:numId w:val="0"/>
        </w:numPr>
        <w:rPr>
          <w:rFonts w:hint="default"/>
          <w:b/>
          <w:sz w:val="28"/>
          <w:szCs w:val="28"/>
          <w:lang w:val="en-US" w:eastAsia="zh-CN"/>
        </w:rPr>
      </w:pPr>
    </w:p>
    <w:tbl>
      <w:tblPr>
        <w:tblStyle w:val="4"/>
        <w:tblW w:w="10656" w:type="dxa"/>
        <w:tblInd w:w="-744" w:type="dxa"/>
        <w:tblLayout w:type="fixed"/>
        <w:tblCellMar>
          <w:top w:w="0" w:type="dxa"/>
          <w:left w:w="108" w:type="dxa"/>
          <w:bottom w:w="0" w:type="dxa"/>
          <w:right w:w="108" w:type="dxa"/>
        </w:tblCellMar>
      </w:tblPr>
      <w:tblGrid>
        <w:gridCol w:w="1108"/>
        <w:gridCol w:w="1706"/>
        <w:gridCol w:w="1494"/>
        <w:gridCol w:w="615"/>
        <w:gridCol w:w="752"/>
        <w:gridCol w:w="959"/>
        <w:gridCol w:w="4022"/>
      </w:tblGrid>
      <w:tr>
        <w:tblPrEx>
          <w:tblCellMar>
            <w:top w:w="0" w:type="dxa"/>
            <w:left w:w="108" w:type="dxa"/>
            <w:bottom w:w="0" w:type="dxa"/>
            <w:right w:w="108" w:type="dxa"/>
          </w:tblCellMar>
        </w:tblPrEx>
        <w:trPr>
          <w:trHeight w:val="636"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序号</w:t>
            </w:r>
          </w:p>
        </w:tc>
        <w:tc>
          <w:tcPr>
            <w:tcW w:w="1706"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项目名称</w:t>
            </w:r>
          </w:p>
        </w:tc>
        <w:tc>
          <w:tcPr>
            <w:tcW w:w="149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rPr>
            </w:pPr>
            <w:r>
              <w:rPr>
                <w:rFonts w:hint="eastAsia" w:ascii="宋体" w:hAnsi="宋体" w:cs="宋体"/>
                <w:kern w:val="0"/>
                <w:sz w:val="20"/>
              </w:rPr>
              <w:t>型号</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单位</w:t>
            </w:r>
          </w:p>
        </w:tc>
        <w:tc>
          <w:tcPr>
            <w:tcW w:w="752"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rPr>
            </w:pPr>
            <w:r>
              <w:rPr>
                <w:rFonts w:hint="eastAsia" w:ascii="宋体" w:hAnsi="宋体" w:cs="宋体"/>
                <w:kern w:val="0"/>
                <w:sz w:val="20"/>
              </w:rPr>
              <w:t>数量</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rPr>
            </w:pPr>
            <w:r>
              <w:rPr>
                <w:rFonts w:hint="eastAsia" w:ascii="宋体" w:hAnsi="宋体" w:cs="宋体"/>
                <w:kern w:val="0"/>
                <w:sz w:val="20"/>
              </w:rPr>
              <w:t>位置</w:t>
            </w:r>
          </w:p>
        </w:tc>
        <w:tc>
          <w:tcPr>
            <w:tcW w:w="4022" w:type="dxa"/>
            <w:tcBorders>
              <w:top w:val="nil"/>
              <w:left w:val="nil"/>
              <w:bottom w:val="single" w:color="auto" w:sz="4" w:space="0"/>
              <w:right w:val="single" w:color="auto" w:sz="4" w:space="0"/>
            </w:tcBorders>
            <w:noWrap/>
            <w:vAlign w:val="center"/>
          </w:tcPr>
          <w:p>
            <w:pPr>
              <w:widowControl/>
              <w:jc w:val="center"/>
              <w:rPr>
                <w:rFonts w:hint="default" w:ascii="宋体" w:hAnsi="宋体" w:cs="宋体" w:eastAsiaTheme="minorEastAsia"/>
                <w:kern w:val="0"/>
                <w:sz w:val="20"/>
                <w:lang w:val="en-US" w:eastAsia="zh-CN"/>
              </w:rPr>
            </w:pPr>
            <w:r>
              <w:rPr>
                <w:rFonts w:hint="eastAsia" w:ascii="宋体" w:hAnsi="宋体" w:cs="宋体"/>
                <w:kern w:val="0"/>
                <w:sz w:val="20"/>
                <w:lang w:val="en-US" w:eastAsia="zh-CN"/>
              </w:rPr>
              <w:t>设备自然老化更换服务</w:t>
            </w:r>
          </w:p>
        </w:tc>
      </w:tr>
      <w:tr>
        <w:tblPrEx>
          <w:tblCellMar>
            <w:top w:w="0" w:type="dxa"/>
            <w:left w:w="108" w:type="dxa"/>
            <w:bottom w:w="0" w:type="dxa"/>
            <w:right w:w="108" w:type="dxa"/>
          </w:tblCellMar>
        </w:tblPrEx>
        <w:trPr>
          <w:trHeight w:val="961"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终端主机</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IPC-810E</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台</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w:t>
            </w:r>
          </w:p>
        </w:tc>
        <w:tc>
          <w:tcPr>
            <w:tcW w:w="959"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20"/>
              </w:rPr>
            </w:pPr>
            <w:r>
              <w:rPr>
                <w:rFonts w:ascii="Arial" w:hAnsi="Arial" w:cs="Arial"/>
                <w:kern w:val="0"/>
                <w:sz w:val="20"/>
              </w:rPr>
              <w:t>3107</w:t>
            </w:r>
          </w:p>
        </w:tc>
        <w:tc>
          <w:tcPr>
            <w:tcW w:w="402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13"/>
                <w:szCs w:val="18"/>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793"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客户端主机</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台</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w:t>
            </w:r>
          </w:p>
        </w:tc>
        <w:tc>
          <w:tcPr>
            <w:tcW w:w="959"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3107</w:t>
            </w:r>
          </w:p>
        </w:tc>
        <w:tc>
          <w:tcPr>
            <w:tcW w:w="402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13"/>
                <w:szCs w:val="18"/>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1085"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3</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停车场收费管理软件</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V5.1.0.8_en</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szCs w:val="21"/>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w:t>
            </w:r>
          </w:p>
        </w:tc>
        <w:tc>
          <w:tcPr>
            <w:tcW w:w="959"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终端主机</w:t>
            </w:r>
          </w:p>
        </w:tc>
        <w:tc>
          <w:tcPr>
            <w:tcW w:w="4022" w:type="dxa"/>
            <w:tcBorders>
              <w:top w:val="nil"/>
              <w:left w:val="nil"/>
              <w:bottom w:val="single" w:color="auto" w:sz="4" w:space="0"/>
              <w:right w:val="single" w:color="auto" w:sz="4" w:space="0"/>
            </w:tcBorders>
            <w:noWrap/>
            <w:vAlign w:val="center"/>
          </w:tcPr>
          <w:p>
            <w:pPr>
              <w:widowControl/>
              <w:jc w:val="center"/>
              <w:rPr>
                <w:rFonts w:hint="default" w:ascii="Arial" w:hAnsi="Arial" w:cs="Arial"/>
                <w:kern w:val="0"/>
                <w:sz w:val="13"/>
                <w:szCs w:val="18"/>
                <w:lang w:val="en-US"/>
              </w:rPr>
            </w:pPr>
            <w:r>
              <w:rPr>
                <w:rFonts w:hint="eastAsia" w:asciiTheme="minorEastAsia" w:hAnsiTheme="minorEastAsia" w:cstheme="minorEastAsia"/>
                <w:b w:val="0"/>
                <w:bCs w:val="0"/>
                <w:color w:val="FF0000"/>
                <w:sz w:val="20"/>
                <w:szCs w:val="20"/>
                <w:lang w:val="en-US" w:eastAsia="zh-CN"/>
              </w:rPr>
              <w:t>免费升级调试系统</w:t>
            </w:r>
          </w:p>
        </w:tc>
      </w:tr>
      <w:tr>
        <w:tblPrEx>
          <w:tblCellMar>
            <w:top w:w="0" w:type="dxa"/>
            <w:left w:w="108" w:type="dxa"/>
            <w:bottom w:w="0" w:type="dxa"/>
            <w:right w:w="108" w:type="dxa"/>
          </w:tblCellMar>
        </w:tblPrEx>
        <w:trPr>
          <w:trHeight w:val="1054"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4</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停车延时报警系统</w:t>
            </w:r>
          </w:p>
        </w:tc>
        <w:tc>
          <w:tcPr>
            <w:tcW w:w="1494"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20"/>
              </w:rPr>
            </w:pPr>
            <w:r>
              <w:rPr>
                <w:rFonts w:hint="eastAsia" w:ascii="Arial" w:hAnsi="Arial" w:cs="Arial"/>
                <w:kern w:val="0"/>
                <w:sz w:val="20"/>
              </w:rPr>
              <w:t>定制</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szCs w:val="21"/>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终端主机</w:t>
            </w:r>
          </w:p>
        </w:tc>
        <w:tc>
          <w:tcPr>
            <w:tcW w:w="4022" w:type="dxa"/>
            <w:tcBorders>
              <w:top w:val="nil"/>
              <w:left w:val="nil"/>
              <w:bottom w:val="single" w:color="auto" w:sz="4" w:space="0"/>
              <w:right w:val="single" w:color="auto" w:sz="4" w:space="0"/>
            </w:tcBorders>
            <w:noWrap/>
            <w:vAlign w:val="center"/>
          </w:tcPr>
          <w:p>
            <w:pPr>
              <w:widowControl/>
              <w:jc w:val="center"/>
              <w:rPr>
                <w:rFonts w:hint="default" w:ascii="Arial" w:hAnsi="Arial" w:cs="Arial"/>
                <w:kern w:val="0"/>
                <w:sz w:val="13"/>
                <w:szCs w:val="18"/>
                <w:lang w:val="en-US"/>
              </w:rPr>
            </w:pPr>
            <w:r>
              <w:rPr>
                <w:rFonts w:hint="eastAsia" w:asciiTheme="minorEastAsia" w:hAnsiTheme="minorEastAsia" w:cstheme="minorEastAsia"/>
                <w:b w:val="0"/>
                <w:bCs w:val="0"/>
                <w:color w:val="FF0000"/>
                <w:sz w:val="20"/>
                <w:szCs w:val="20"/>
                <w:lang w:val="en-US" w:eastAsia="zh-CN"/>
              </w:rPr>
              <w:t>目前暂无使用，前端缺失显示设备，需报价处理</w:t>
            </w:r>
          </w:p>
        </w:tc>
      </w:tr>
      <w:tr>
        <w:tblPrEx>
          <w:tblCellMar>
            <w:top w:w="0" w:type="dxa"/>
            <w:left w:w="108" w:type="dxa"/>
            <w:bottom w:w="0" w:type="dxa"/>
            <w:right w:w="108" w:type="dxa"/>
          </w:tblCellMar>
        </w:tblPrEx>
        <w:trPr>
          <w:trHeight w:val="961"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5</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一进一出车道闸道闸机体</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szCs w:val="21"/>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出入口</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13"/>
                <w:szCs w:val="18"/>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1145"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6</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栅栏式挡车道闸</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KT-vpp-ab-fb</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根</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出入口</w:t>
            </w:r>
          </w:p>
        </w:tc>
        <w:tc>
          <w:tcPr>
            <w:tcW w:w="4022" w:type="dxa"/>
            <w:tcBorders>
              <w:top w:val="nil"/>
              <w:left w:val="nil"/>
              <w:bottom w:val="single" w:color="auto" w:sz="4" w:space="0"/>
              <w:right w:val="single" w:color="auto" w:sz="4" w:space="0"/>
            </w:tcBorders>
            <w:noWrap/>
            <w:vAlign w:val="center"/>
          </w:tcPr>
          <w:p>
            <w:pPr>
              <w:widowControl/>
              <w:jc w:val="center"/>
              <w:rPr>
                <w:rFonts w:hint="default" w:ascii="Arial" w:hAnsi="Arial" w:cs="Arial"/>
                <w:kern w:val="0"/>
                <w:sz w:val="13"/>
                <w:szCs w:val="18"/>
                <w:lang w:val="en-US"/>
              </w:rPr>
            </w:pPr>
            <w:r>
              <w:rPr>
                <w:rFonts w:hint="eastAsia" w:asciiTheme="minorEastAsia" w:hAnsiTheme="minorEastAsia" w:cstheme="minorEastAsia"/>
                <w:b w:val="0"/>
                <w:bCs w:val="0"/>
                <w:color w:val="FF0000"/>
                <w:sz w:val="20"/>
                <w:szCs w:val="20"/>
                <w:lang w:val="en-US" w:eastAsia="zh-CN"/>
              </w:rPr>
              <w:t>闸机免费更换，闸杆因属于易损物品，没有提供更换服务，报价处理</w:t>
            </w:r>
          </w:p>
        </w:tc>
      </w:tr>
      <w:tr>
        <w:tblPrEx>
          <w:tblCellMar>
            <w:top w:w="0" w:type="dxa"/>
            <w:left w:w="108" w:type="dxa"/>
            <w:bottom w:w="0" w:type="dxa"/>
            <w:right w:w="108" w:type="dxa"/>
          </w:tblCellMar>
        </w:tblPrEx>
        <w:trPr>
          <w:trHeight w:val="961"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7</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车辆感应器</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PDA132</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szCs w:val="21"/>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rPr>
            </w:pPr>
            <w:r>
              <w:rPr>
                <w:rFonts w:hint="eastAsia" w:ascii="宋体" w:hAnsi="宋体" w:cs="宋体"/>
                <w:kern w:val="0"/>
                <w:sz w:val="20"/>
              </w:rPr>
              <w:t>道闸箱体内</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13"/>
                <w:szCs w:val="18"/>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1070"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8</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地感线圈</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szCs w:val="21"/>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4</w:t>
            </w:r>
          </w:p>
        </w:tc>
        <w:tc>
          <w:tcPr>
            <w:tcW w:w="95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0"/>
              </w:rPr>
            </w:pPr>
            <w:r>
              <w:rPr>
                <w:rFonts w:hint="eastAsia" w:ascii="宋体" w:hAnsi="宋体" w:cs="宋体"/>
                <w:kern w:val="0"/>
                <w:sz w:val="20"/>
              </w:rPr>
              <w:t>出入口</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13"/>
                <w:szCs w:val="18"/>
              </w:rPr>
            </w:pPr>
            <w:r>
              <w:rPr>
                <w:rFonts w:hint="eastAsia" w:asciiTheme="minorEastAsia" w:hAnsiTheme="minorEastAsia" w:cstheme="minorEastAsia"/>
                <w:b w:val="0"/>
                <w:bCs w:val="0"/>
                <w:color w:val="FF0000"/>
                <w:sz w:val="20"/>
                <w:szCs w:val="20"/>
                <w:lang w:val="en-US" w:eastAsia="zh-CN"/>
              </w:rPr>
              <w:t>因更换费用较大，不提供更换服务</w:t>
            </w:r>
          </w:p>
        </w:tc>
      </w:tr>
      <w:tr>
        <w:tblPrEx>
          <w:tblCellMar>
            <w:top w:w="0" w:type="dxa"/>
            <w:left w:w="108" w:type="dxa"/>
            <w:bottom w:w="0" w:type="dxa"/>
            <w:right w:w="108" w:type="dxa"/>
          </w:tblCellMar>
        </w:tblPrEx>
        <w:trPr>
          <w:trHeight w:val="961"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9</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停车场可编程L</w:t>
            </w:r>
            <w:r>
              <w:rPr>
                <w:rFonts w:ascii="宋体" w:hAnsi="宋体"/>
                <w:szCs w:val="21"/>
              </w:rPr>
              <w:t>ED</w:t>
            </w:r>
            <w:r>
              <w:rPr>
                <w:rFonts w:hint="eastAsia" w:ascii="宋体" w:hAnsi="宋体"/>
                <w:szCs w:val="21"/>
              </w:rPr>
              <w:t>显示器</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台</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20"/>
              </w:rPr>
            </w:pPr>
            <w:r>
              <w:rPr>
                <w:rFonts w:hint="eastAsia" w:ascii="Arial" w:hAnsi="Arial" w:cs="Arial"/>
                <w:kern w:val="0"/>
                <w:sz w:val="20"/>
                <w:highlight w:val="yellow"/>
              </w:rPr>
              <w:t>出入口</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13"/>
                <w:szCs w:val="18"/>
                <w:highlight w:val="yellow"/>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872"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1</w:t>
            </w:r>
            <w:r>
              <w:rPr>
                <w:rFonts w:ascii="Arial" w:hAnsi="Arial" w:cs="Arial"/>
                <w:kern w:val="0"/>
                <w:sz w:val="20"/>
              </w:rPr>
              <w:t>0</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摄像头</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台</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20"/>
              </w:rPr>
            </w:pPr>
            <w:r>
              <w:rPr>
                <w:rFonts w:hint="eastAsia" w:ascii="Arial" w:hAnsi="Arial" w:cs="Arial"/>
                <w:kern w:val="0"/>
                <w:sz w:val="20"/>
              </w:rPr>
              <w:t>出入口</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13"/>
                <w:szCs w:val="18"/>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918"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11</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对讲主机/分机</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KT-DJF02-1</w:t>
            </w: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cs="Arial"/>
                <w:kern w:val="0"/>
                <w:sz w:val="20"/>
              </w:rPr>
              <w:t>台</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highlight w:val="yellow"/>
              </w:rPr>
            </w:pPr>
            <w:r>
              <w:rPr>
                <w:rFonts w:ascii="Arial" w:hAnsi="Arial" w:cs="Arial"/>
                <w:kern w:val="0"/>
                <w:sz w:val="20"/>
                <w:highlight w:val="yellow"/>
              </w:rPr>
              <w:t>5</w:t>
            </w:r>
          </w:p>
        </w:tc>
        <w:tc>
          <w:tcPr>
            <w:tcW w:w="959"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20"/>
              </w:rPr>
            </w:pPr>
            <w:r>
              <w:rPr>
                <w:rFonts w:hint="eastAsia" w:ascii="Arial" w:hAnsi="Arial" w:cs="Arial"/>
                <w:kern w:val="0"/>
                <w:sz w:val="20"/>
                <w:highlight w:val="yellow"/>
              </w:rPr>
              <w:t>出入口及</w:t>
            </w:r>
            <w:r>
              <w:rPr>
                <w:rFonts w:ascii="Arial" w:hAnsi="Arial" w:cs="Arial"/>
                <w:kern w:val="0"/>
                <w:sz w:val="20"/>
                <w:highlight w:val="yellow"/>
              </w:rPr>
              <w:t>3107</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13"/>
                <w:szCs w:val="18"/>
                <w:highlight w:val="yellow"/>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961"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12</w:t>
            </w:r>
          </w:p>
        </w:tc>
        <w:tc>
          <w:tcPr>
            <w:tcW w:w="1706"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rPr>
            </w:pPr>
            <w:r>
              <w:rPr>
                <w:rFonts w:hint="eastAsia" w:ascii="宋体" w:hAnsi="宋体"/>
                <w:szCs w:val="21"/>
              </w:rPr>
              <w:t>通讯转换器、主板、电源</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p>
        </w:tc>
        <w:tc>
          <w:tcPr>
            <w:tcW w:w="615"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宋体" w:hAnsi="宋体"/>
                <w:szCs w:val="21"/>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2</w:t>
            </w:r>
          </w:p>
        </w:tc>
        <w:tc>
          <w:tcPr>
            <w:tcW w:w="959"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rPr>
            </w:pPr>
            <w:r>
              <w:rPr>
                <w:rFonts w:hint="eastAsia" w:ascii="Arial" w:hAnsi="Arial" w:cs="Arial"/>
                <w:kern w:val="0"/>
                <w:sz w:val="20"/>
              </w:rPr>
              <w:t>相机设备里</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13"/>
                <w:szCs w:val="18"/>
              </w:rPr>
            </w:pPr>
            <w:r>
              <w:rPr>
                <w:rFonts w:hint="eastAsia" w:asciiTheme="minorEastAsia" w:hAnsiTheme="minorEastAsia" w:cstheme="minorEastAsia"/>
                <w:b w:val="0"/>
                <w:bCs w:val="0"/>
                <w:color w:val="FF0000"/>
                <w:sz w:val="20"/>
                <w:szCs w:val="20"/>
                <w:lang w:val="en-US" w:eastAsia="zh-CN"/>
              </w:rPr>
              <w:t>免费更换</w:t>
            </w:r>
          </w:p>
        </w:tc>
      </w:tr>
      <w:tr>
        <w:tblPrEx>
          <w:tblCellMar>
            <w:top w:w="0" w:type="dxa"/>
            <w:left w:w="108" w:type="dxa"/>
            <w:bottom w:w="0" w:type="dxa"/>
            <w:right w:w="108" w:type="dxa"/>
          </w:tblCellMar>
        </w:tblPrEx>
        <w:trPr>
          <w:trHeight w:val="1147"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13</w:t>
            </w:r>
          </w:p>
        </w:tc>
        <w:tc>
          <w:tcPr>
            <w:tcW w:w="1706" w:type="dxa"/>
            <w:tcBorders>
              <w:top w:val="nil"/>
              <w:left w:val="nil"/>
              <w:bottom w:val="single" w:color="auto" w:sz="4" w:space="0"/>
              <w:right w:val="single" w:color="auto" w:sz="4" w:space="0"/>
            </w:tcBorders>
            <w:noWrap/>
            <w:vAlign w:val="center"/>
          </w:tcPr>
          <w:p>
            <w:pPr>
              <w:widowControl/>
              <w:jc w:val="left"/>
              <w:rPr>
                <w:rFonts w:hint="eastAsia" w:ascii="宋体" w:hAnsi="宋体"/>
                <w:szCs w:val="21"/>
                <w:highlight w:val="yellow"/>
              </w:rPr>
            </w:pPr>
            <w:r>
              <w:rPr>
                <w:rFonts w:hint="eastAsia" w:ascii="宋体" w:hAnsi="宋体"/>
                <w:szCs w:val="21"/>
                <w:highlight w:val="yellow"/>
              </w:rPr>
              <w:t>强弱电线路及接口部件</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highlight w:val="yellow"/>
              </w:rPr>
            </w:pPr>
          </w:p>
        </w:tc>
        <w:tc>
          <w:tcPr>
            <w:tcW w:w="615" w:type="dxa"/>
            <w:tcBorders>
              <w:top w:val="nil"/>
              <w:left w:val="nil"/>
              <w:bottom w:val="single" w:color="auto" w:sz="4" w:space="0"/>
              <w:right w:val="single" w:color="auto" w:sz="4" w:space="0"/>
            </w:tcBorders>
            <w:noWrap/>
            <w:vAlign w:val="center"/>
          </w:tcPr>
          <w:p>
            <w:pPr>
              <w:widowControl/>
              <w:jc w:val="center"/>
              <w:rPr>
                <w:rFonts w:hint="eastAsia" w:ascii="宋体" w:hAnsi="宋体"/>
                <w:szCs w:val="21"/>
                <w:highlight w:val="yellow"/>
              </w:rPr>
            </w:pPr>
            <w:r>
              <w:rPr>
                <w:rFonts w:hint="eastAsia" w:ascii="宋体" w:hAnsi="宋体"/>
                <w:szCs w:val="21"/>
                <w:highlight w:val="yellow"/>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highlight w:val="yellow"/>
              </w:rPr>
            </w:pPr>
            <w:r>
              <w:rPr>
                <w:rFonts w:ascii="Arial" w:hAnsi="Arial" w:cs="Arial"/>
                <w:kern w:val="0"/>
                <w:sz w:val="20"/>
                <w:highlight w:val="yellow"/>
              </w:rPr>
              <w:t>2</w:t>
            </w:r>
          </w:p>
        </w:tc>
        <w:tc>
          <w:tcPr>
            <w:tcW w:w="959" w:type="dxa"/>
            <w:tcBorders>
              <w:top w:val="nil"/>
              <w:left w:val="nil"/>
              <w:bottom w:val="single" w:color="auto" w:sz="4" w:space="0"/>
              <w:right w:val="single" w:color="auto" w:sz="4" w:space="0"/>
            </w:tcBorders>
            <w:noWrap/>
            <w:vAlign w:val="center"/>
          </w:tcPr>
          <w:p>
            <w:pPr>
              <w:widowControl/>
              <w:jc w:val="center"/>
              <w:rPr>
                <w:rFonts w:hint="eastAsia" w:ascii="Arial" w:hAnsi="Arial" w:cs="Arial"/>
                <w:kern w:val="0"/>
                <w:sz w:val="20"/>
                <w:highlight w:val="yellow"/>
              </w:rPr>
            </w:pPr>
            <w:r>
              <w:rPr>
                <w:rFonts w:hint="eastAsia" w:ascii="宋体" w:hAnsi="宋体" w:cs="宋体"/>
                <w:kern w:val="0"/>
                <w:sz w:val="20"/>
                <w:highlight w:val="yellow"/>
              </w:rPr>
              <w:t>线路管线</w:t>
            </w:r>
          </w:p>
        </w:tc>
        <w:tc>
          <w:tcPr>
            <w:tcW w:w="4022" w:type="dxa"/>
            <w:tcBorders>
              <w:top w:val="nil"/>
              <w:left w:val="nil"/>
              <w:bottom w:val="single" w:color="auto" w:sz="4" w:space="0"/>
              <w:right w:val="single" w:color="auto" w:sz="4" w:space="0"/>
            </w:tcBorders>
            <w:noWrap/>
            <w:vAlign w:val="center"/>
          </w:tcPr>
          <w:p>
            <w:pPr>
              <w:widowControl/>
              <w:jc w:val="center"/>
              <w:rPr>
                <w:rFonts w:hint="default" w:ascii="宋体" w:hAnsi="宋体" w:cs="宋体"/>
                <w:kern w:val="0"/>
                <w:sz w:val="13"/>
                <w:szCs w:val="18"/>
                <w:highlight w:val="yellow"/>
                <w:lang w:val="en-US"/>
              </w:rPr>
            </w:pPr>
            <w:r>
              <w:rPr>
                <w:rFonts w:hint="eastAsia" w:asciiTheme="minorEastAsia" w:hAnsiTheme="minorEastAsia" w:cstheme="minorEastAsia"/>
                <w:b w:val="0"/>
                <w:bCs w:val="0"/>
                <w:color w:val="FF0000"/>
                <w:sz w:val="20"/>
                <w:szCs w:val="20"/>
                <w:lang w:val="en-US" w:eastAsia="zh-CN"/>
              </w:rPr>
              <w:t>出入口安全岛、设备附近、监控室内线路管线免费更换，其他区域无提供更换服务，需报价处理</w:t>
            </w:r>
          </w:p>
        </w:tc>
      </w:tr>
      <w:tr>
        <w:tblPrEx>
          <w:tblCellMar>
            <w:top w:w="0" w:type="dxa"/>
            <w:left w:w="108" w:type="dxa"/>
            <w:bottom w:w="0" w:type="dxa"/>
            <w:right w:w="108" w:type="dxa"/>
          </w:tblCellMar>
        </w:tblPrEx>
        <w:trPr>
          <w:trHeight w:val="952" w:hRule="atLeast"/>
        </w:trPr>
        <w:tc>
          <w:tcPr>
            <w:tcW w:w="1108" w:type="dxa"/>
            <w:tcBorders>
              <w:top w:val="nil"/>
              <w:left w:val="single" w:color="auto" w:sz="8" w:space="0"/>
              <w:bottom w:val="single" w:color="auto" w:sz="4" w:space="0"/>
              <w:right w:val="single" w:color="auto" w:sz="4" w:space="0"/>
            </w:tcBorders>
            <w:noWrap/>
            <w:vAlign w:val="center"/>
          </w:tcPr>
          <w:p>
            <w:pPr>
              <w:widowControl/>
              <w:jc w:val="center"/>
              <w:rPr>
                <w:rFonts w:ascii="Arial" w:hAnsi="Arial" w:cs="Arial"/>
                <w:kern w:val="0"/>
                <w:sz w:val="20"/>
              </w:rPr>
            </w:pPr>
            <w:r>
              <w:rPr>
                <w:rFonts w:ascii="Arial" w:hAnsi="Arial" w:cs="Arial"/>
                <w:kern w:val="0"/>
                <w:sz w:val="20"/>
              </w:rPr>
              <w:t>14</w:t>
            </w:r>
          </w:p>
        </w:tc>
        <w:tc>
          <w:tcPr>
            <w:tcW w:w="1706" w:type="dxa"/>
            <w:tcBorders>
              <w:top w:val="nil"/>
              <w:left w:val="nil"/>
              <w:bottom w:val="single" w:color="auto" w:sz="4" w:space="0"/>
              <w:right w:val="single" w:color="auto" w:sz="4" w:space="0"/>
            </w:tcBorders>
            <w:noWrap/>
            <w:vAlign w:val="center"/>
          </w:tcPr>
          <w:p>
            <w:pPr>
              <w:widowControl/>
              <w:jc w:val="left"/>
              <w:rPr>
                <w:rFonts w:hint="eastAsia" w:ascii="宋体" w:hAnsi="宋体"/>
                <w:szCs w:val="21"/>
                <w:highlight w:val="yellow"/>
              </w:rPr>
            </w:pPr>
            <w:r>
              <w:rPr>
                <w:rFonts w:hint="eastAsia" w:ascii="宋体" w:hAnsi="宋体"/>
                <w:szCs w:val="21"/>
                <w:highlight w:val="yellow"/>
              </w:rPr>
              <w:t>辅助摄像头</w:t>
            </w:r>
          </w:p>
        </w:tc>
        <w:tc>
          <w:tcPr>
            <w:tcW w:w="1494"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highlight w:val="yellow"/>
              </w:rPr>
            </w:pPr>
            <w:r>
              <w:rPr>
                <w:rFonts w:hint="eastAsia" w:ascii="Arial" w:hAnsi="Arial" w:cs="Arial"/>
                <w:kern w:val="0"/>
                <w:sz w:val="20"/>
                <w:highlight w:val="yellow"/>
              </w:rPr>
              <w:t>KT-VPP-A10-RC3</w:t>
            </w:r>
          </w:p>
        </w:tc>
        <w:tc>
          <w:tcPr>
            <w:tcW w:w="615" w:type="dxa"/>
            <w:tcBorders>
              <w:top w:val="nil"/>
              <w:left w:val="nil"/>
              <w:bottom w:val="single" w:color="auto" w:sz="4" w:space="0"/>
              <w:right w:val="single" w:color="auto" w:sz="4" w:space="0"/>
            </w:tcBorders>
            <w:noWrap/>
            <w:vAlign w:val="center"/>
          </w:tcPr>
          <w:p>
            <w:pPr>
              <w:widowControl/>
              <w:jc w:val="center"/>
              <w:rPr>
                <w:rFonts w:hint="eastAsia" w:ascii="宋体" w:hAnsi="宋体"/>
                <w:szCs w:val="21"/>
                <w:highlight w:val="yellow"/>
              </w:rPr>
            </w:pPr>
            <w:r>
              <w:rPr>
                <w:rFonts w:hint="eastAsia" w:ascii="宋体" w:hAnsi="宋体"/>
                <w:szCs w:val="21"/>
                <w:highlight w:val="yellow"/>
              </w:rPr>
              <w:t>套</w:t>
            </w:r>
          </w:p>
        </w:tc>
        <w:tc>
          <w:tcPr>
            <w:tcW w:w="752"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highlight w:val="yellow"/>
              </w:rPr>
            </w:pPr>
            <w:r>
              <w:rPr>
                <w:rFonts w:hint="eastAsia" w:ascii="Arial" w:hAnsi="Arial" w:cs="Arial"/>
                <w:kern w:val="0"/>
                <w:sz w:val="20"/>
                <w:highlight w:val="yellow"/>
              </w:rPr>
              <w:t>1</w:t>
            </w:r>
          </w:p>
        </w:tc>
        <w:tc>
          <w:tcPr>
            <w:tcW w:w="95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0"/>
                <w:highlight w:val="yellow"/>
              </w:rPr>
            </w:pPr>
            <w:r>
              <w:rPr>
                <w:rFonts w:hint="eastAsia" w:ascii="宋体" w:hAnsi="宋体" w:cs="宋体"/>
                <w:kern w:val="0"/>
                <w:sz w:val="20"/>
                <w:highlight w:val="yellow"/>
              </w:rPr>
              <w:t>入口</w:t>
            </w:r>
          </w:p>
        </w:tc>
        <w:tc>
          <w:tcPr>
            <w:tcW w:w="402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13"/>
                <w:szCs w:val="18"/>
                <w:highlight w:val="yellow"/>
              </w:rPr>
            </w:pPr>
            <w:r>
              <w:rPr>
                <w:rFonts w:hint="eastAsia" w:asciiTheme="minorEastAsia" w:hAnsiTheme="minorEastAsia" w:cstheme="minorEastAsia"/>
                <w:b w:val="0"/>
                <w:bCs w:val="0"/>
                <w:color w:val="FF0000"/>
                <w:sz w:val="20"/>
                <w:szCs w:val="20"/>
                <w:lang w:val="en-US" w:eastAsia="zh-CN"/>
              </w:rPr>
              <w:t>免费更换</w:t>
            </w:r>
          </w:p>
        </w:tc>
      </w:tr>
    </w:tbl>
    <w:p>
      <w:pPr>
        <w:rPr>
          <w:rFonts w:hint="eastAsia"/>
          <w:b/>
          <w:sz w:val="24"/>
        </w:rPr>
      </w:pPr>
    </w:p>
    <w:p>
      <w:pPr>
        <w:rPr>
          <w:rFonts w:hint="eastAsia"/>
          <w:b/>
          <w:sz w:val="24"/>
        </w:rPr>
      </w:pPr>
    </w:p>
    <w:p>
      <w:pPr>
        <w:rPr>
          <w:rFonts w:hint="eastAsia"/>
          <w:b/>
          <w:sz w:val="24"/>
        </w:rPr>
      </w:pPr>
    </w:p>
    <w:p>
      <w:pPr>
        <w:spacing w:line="360" w:lineRule="auto"/>
        <w:ind w:firstLine="560" w:firstLineChars="200"/>
        <w:rPr>
          <w:rFonts w:hint="eastAsia" w:asciiTheme="minorEastAsia" w:hAnsiTheme="minorEastAsia" w:eastAsiaTheme="minorEastAsia" w:cstheme="minorEastAsia"/>
          <w:sz w:val="28"/>
          <w:szCs w:val="28"/>
        </w:rPr>
      </w:pPr>
    </w:p>
    <w:p>
      <w:pPr>
        <w:spacing w:line="520" w:lineRule="exact"/>
        <w:ind w:firstLine="560" w:firstLineChars="200"/>
        <w:rPr>
          <w:rFonts w:hint="eastAsia" w:asciiTheme="minorEastAsia" w:hAnsiTheme="minorEastAsia" w:eastAsiaTheme="minorEastAsia" w:cstheme="minorEastAsia"/>
          <w:sz w:val="28"/>
          <w:szCs w:val="28"/>
          <w:lang w:val="en-US" w:eastAsia="zh-CN"/>
        </w:rPr>
      </w:pPr>
    </w:p>
    <w:p>
      <w:pPr>
        <w:jc w:val="left"/>
        <w:rPr>
          <w:rFonts w:hint="eastAsia" w:asciiTheme="minorEastAsia" w:hAnsiTheme="minorEastAsia" w:eastAsiaTheme="minorEastAsia" w:cstheme="minorEastAsia"/>
          <w:sz w:val="28"/>
          <w:szCs w:val="28"/>
        </w:rPr>
      </w:pPr>
    </w:p>
    <w:p>
      <w:pPr>
        <w:jc w:val="center"/>
        <w:rPr>
          <w:rFonts w:hint="default"/>
          <w:b/>
          <w:bCs/>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8627AA"/>
    <w:multiLevelType w:val="singleLevel"/>
    <w:tmpl w:val="E58627AA"/>
    <w:lvl w:ilvl="0" w:tentative="0">
      <w:start w:val="1"/>
      <w:numFmt w:val="decimal"/>
      <w:suff w:val="nothing"/>
      <w:lvlText w:val="%1、"/>
      <w:lvlJc w:val="left"/>
    </w:lvl>
  </w:abstractNum>
  <w:abstractNum w:abstractNumId="1">
    <w:nsid w:val="6D09E2A3"/>
    <w:multiLevelType w:val="singleLevel"/>
    <w:tmpl w:val="6D09E2A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F4931"/>
    <w:rsid w:val="02777BFD"/>
    <w:rsid w:val="042B5143"/>
    <w:rsid w:val="0F824086"/>
    <w:rsid w:val="131274CE"/>
    <w:rsid w:val="15EC0FB7"/>
    <w:rsid w:val="198E4E10"/>
    <w:rsid w:val="1AC45552"/>
    <w:rsid w:val="1DB06D6D"/>
    <w:rsid w:val="24EE1B49"/>
    <w:rsid w:val="26DB434F"/>
    <w:rsid w:val="27716A62"/>
    <w:rsid w:val="2FCF2577"/>
    <w:rsid w:val="37D50947"/>
    <w:rsid w:val="39447B32"/>
    <w:rsid w:val="3C3F4931"/>
    <w:rsid w:val="3D390512"/>
    <w:rsid w:val="40175FA1"/>
    <w:rsid w:val="4CDD5E7C"/>
    <w:rsid w:val="554E3DBB"/>
    <w:rsid w:val="598D29D8"/>
    <w:rsid w:val="5B062A42"/>
    <w:rsid w:val="5DFC012C"/>
    <w:rsid w:val="67A4786A"/>
    <w:rsid w:val="745443C6"/>
    <w:rsid w:val="7C3B1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1863</Words>
  <Characters>1971</Characters>
  <Lines>0</Lines>
  <Paragraphs>0</Paragraphs>
  <TotalTime>12</TotalTime>
  <ScaleCrop>false</ScaleCrop>
  <LinksUpToDate>false</LinksUpToDate>
  <CharactersWithSpaces>1971</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2025-09-02T02:36:00Z</dcterms:created>
  <dc:creator>颜柒，</dc:creator>
  <cp:lastModifiedBy>连祎文</cp:lastModifiedBy>
  <dcterms:modified xsi:type="dcterms:W3CDTF">2025-09-11T03:10:53Z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28BFA647E7A744B0AA894E52FC669B69_11</vt:lpwstr>
  </property>
  <property fmtid="{D5CDD505-2E9C-101B-9397-08002B2CF9AE}" pid="4" name="KSOTemplateDocerSaveRecord">
    <vt:lpwstr>eyJoZGlkIjoiZjhlNjYwODgxYTlkYWU4MjQ2NDRiMWFiY2M5NWI4NDkiLCJ1c2VySWQiOiIxMDEyNDEwNjMyIn0=</vt:lpwstr>
  </property>
</Properties>
</file>