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pStyle w:val="4"/>
        <w:shd w:val="clear" w:color="auto" w:fill="FFFFFF"/>
        <w:spacing w:before="0" w:beforeAutospacing="0" w:after="0" w:afterAutospacing="0" w:line="645" w:lineRule="atLeast"/>
        <w:ind w:firstLine="480"/>
        <w:rPr>
          <w:rFonts w:hint="eastAsia" w:ascii="彩虹粗仿宋" w:hAnsi="Segoe UI" w:eastAsia="彩虹粗仿宋" w:cs="Segoe UI"/>
          <w:color w:val="333333"/>
          <w:sz w:val="32"/>
          <w:szCs w:val="32"/>
          <w:lang w:val="en-US" w:eastAsia="zh-CN"/>
        </w:rPr>
      </w:pPr>
      <w:bookmarkStart w:id="0" w:name="_GoBack"/>
      <w:r>
        <w:rPr>
          <w:rFonts w:hint="eastAsia" w:ascii="彩虹粗仿宋" w:hAnsi="Segoe UI" w:eastAsia="彩虹粗仿宋" w:cs="Segoe UI"/>
          <w:color w:val="333333"/>
          <w:sz w:val="32"/>
          <w:szCs w:val="32"/>
        </w:rPr>
        <w:t>1.企</w:t>
      </w:r>
      <w:r>
        <w:rPr>
          <w:rFonts w:hint="eastAsia" w:ascii="彩虹粗仿宋" w:hAnsi="Segoe UI" w:eastAsia="彩虹粗仿宋" w:cs="Segoe UI"/>
          <w:color w:val="333333"/>
          <w:sz w:val="32"/>
          <w:szCs w:val="32"/>
          <w:lang w:val="en-US" w:eastAsia="zh-CN"/>
        </w:rPr>
        <w:t>业必须是在中华人民共和国境内注册的具有独立承担民事责任能力的法人,能开具增值税专用发票。</w:t>
      </w:r>
    </w:p>
    <w:p>
      <w:pPr>
        <w:pStyle w:val="4"/>
        <w:shd w:val="clear" w:color="auto" w:fill="FFFFFF"/>
        <w:spacing w:before="0" w:beforeAutospacing="0" w:after="0" w:afterAutospacing="0" w:line="645" w:lineRule="atLeast"/>
        <w:ind w:firstLine="480"/>
        <w:rPr>
          <w:rFonts w:hint="eastAsia" w:ascii="彩虹粗仿宋" w:hAnsi="Segoe UI" w:eastAsia="彩虹粗仿宋" w:cs="Segoe UI"/>
          <w:color w:val="333333"/>
          <w:sz w:val="32"/>
          <w:szCs w:val="32"/>
        </w:rPr>
      </w:pPr>
      <w:r>
        <w:rPr>
          <w:rFonts w:hint="eastAsia" w:ascii="彩虹粗仿宋" w:hAnsi="Segoe UI" w:eastAsia="彩虹粗仿宋" w:cs="Segoe UI"/>
          <w:color w:val="333333"/>
          <w:sz w:val="32"/>
          <w:szCs w:val="32"/>
        </w:rPr>
        <w:t>2.企业须有固定的营业场所。</w:t>
      </w:r>
    </w:p>
    <w:p>
      <w:pPr>
        <w:pStyle w:val="4"/>
        <w:shd w:val="clear" w:color="auto" w:fill="FFFFFF"/>
        <w:spacing w:before="0" w:beforeAutospacing="0" w:after="0" w:afterAutospacing="0" w:line="645" w:lineRule="atLeast"/>
        <w:ind w:firstLine="480"/>
        <w:rPr>
          <w:rFonts w:hint="default" w:ascii="彩虹粗仿宋" w:hAnsi="Segoe UI" w:eastAsia="彩虹粗仿宋" w:cs="Segoe UI"/>
          <w:color w:val="333333"/>
          <w:sz w:val="32"/>
          <w:szCs w:val="32"/>
          <w:lang w:val="en-US" w:eastAsia="zh-CN"/>
        </w:rPr>
      </w:pPr>
      <w:r>
        <w:rPr>
          <w:rFonts w:hint="eastAsia" w:ascii="彩虹粗仿宋" w:hAnsi="Segoe UI" w:eastAsia="彩虹粗仿宋" w:cs="Segoe UI"/>
          <w:color w:val="333333"/>
          <w:sz w:val="32"/>
          <w:szCs w:val="32"/>
          <w:lang w:val="en-US" w:eastAsia="zh-CN"/>
        </w:rPr>
        <w:t>3.企业须具备信息安全管理体系认证等资质证书。</w:t>
      </w:r>
    </w:p>
    <w:p>
      <w:pPr>
        <w:pStyle w:val="4"/>
        <w:shd w:val="clear" w:color="auto" w:fill="FFFFFF"/>
        <w:spacing w:before="0" w:beforeAutospacing="0" w:after="0" w:afterAutospacing="0" w:line="645" w:lineRule="atLeast"/>
        <w:ind w:firstLine="480"/>
        <w:rPr>
          <w:rFonts w:hint="eastAsia" w:ascii="彩虹粗仿宋" w:hAnsi="Segoe UI" w:eastAsia="彩虹粗仿宋" w:cs="Segoe UI"/>
          <w:color w:val="333333"/>
          <w:sz w:val="32"/>
          <w:szCs w:val="32"/>
        </w:rPr>
      </w:pPr>
      <w:r>
        <w:rPr>
          <w:rFonts w:hint="eastAsia" w:ascii="彩虹粗仿宋" w:hAnsi="Segoe UI" w:eastAsia="彩虹粗仿宋" w:cs="Segoe UI"/>
          <w:color w:val="333333"/>
          <w:sz w:val="32"/>
          <w:szCs w:val="32"/>
          <w:lang w:val="en-US" w:eastAsia="zh-CN"/>
        </w:rPr>
        <w:t>4</w:t>
      </w:r>
      <w:r>
        <w:rPr>
          <w:rFonts w:hint="eastAsia" w:ascii="彩虹粗仿宋" w:hAnsi="Segoe UI" w:eastAsia="彩虹粗仿宋" w:cs="Segoe UI"/>
          <w:color w:val="333333"/>
          <w:sz w:val="32"/>
          <w:szCs w:val="32"/>
        </w:rPr>
        <w:t>.企业</w:t>
      </w:r>
      <w:r>
        <w:rPr>
          <w:rFonts w:hint="eastAsia" w:ascii="彩虹粗仿宋" w:hAnsi="Segoe UI" w:eastAsia="彩虹粗仿宋" w:cs="Segoe UI"/>
          <w:color w:val="333333"/>
          <w:sz w:val="32"/>
          <w:szCs w:val="32"/>
          <w:lang w:val="en-US" w:eastAsia="zh-CN"/>
        </w:rPr>
        <w:t>须</w:t>
      </w:r>
      <w:r>
        <w:rPr>
          <w:rFonts w:hint="eastAsia" w:ascii="彩虹粗仿宋" w:hAnsi="Segoe UI" w:eastAsia="彩虹粗仿宋" w:cs="Segoe UI"/>
          <w:color w:val="333333"/>
          <w:sz w:val="32"/>
          <w:szCs w:val="32"/>
        </w:rPr>
        <w:t>成立三年以上，经营状况正常且最近一年净利润需为正数。</w:t>
      </w:r>
    </w:p>
    <w:p>
      <w:pPr>
        <w:pStyle w:val="4"/>
        <w:shd w:val="clear" w:color="auto" w:fill="FFFFFF"/>
        <w:spacing w:before="0" w:beforeAutospacing="0" w:after="0" w:afterAutospacing="0" w:line="645" w:lineRule="atLeast"/>
        <w:ind w:firstLine="480"/>
        <w:rPr>
          <w:rFonts w:hint="eastAsia" w:ascii="彩虹粗仿宋" w:hAnsi="Segoe UI" w:eastAsia="彩虹粗仿宋" w:cs="Segoe UI"/>
          <w:color w:val="333333"/>
          <w:sz w:val="32"/>
          <w:szCs w:val="32"/>
        </w:rPr>
      </w:pPr>
      <w:r>
        <w:rPr>
          <w:rFonts w:hint="eastAsia" w:ascii="彩虹粗仿宋" w:hAnsi="Segoe UI" w:eastAsia="彩虹粗仿宋" w:cs="Segoe UI"/>
          <w:color w:val="333333"/>
          <w:sz w:val="32"/>
          <w:szCs w:val="32"/>
          <w:lang w:val="en-US" w:eastAsia="zh-CN"/>
        </w:rPr>
        <w:t>5</w:t>
      </w:r>
      <w:r>
        <w:rPr>
          <w:rFonts w:hint="eastAsia" w:ascii="彩虹粗仿宋" w:hAnsi="Segoe UI" w:eastAsia="彩虹粗仿宋" w:cs="Segoe UI"/>
          <w:color w:val="333333"/>
          <w:sz w:val="32"/>
          <w:szCs w:val="32"/>
        </w:rPr>
        <w:t>.企业</w:t>
      </w:r>
      <w:r>
        <w:rPr>
          <w:rFonts w:hint="eastAsia" w:ascii="彩虹粗仿宋" w:hAnsi="Segoe UI" w:eastAsia="彩虹粗仿宋" w:cs="Segoe UI"/>
          <w:color w:val="333333"/>
          <w:sz w:val="32"/>
          <w:szCs w:val="32"/>
          <w:lang w:val="en-US" w:eastAsia="zh-CN"/>
        </w:rPr>
        <w:t>近三年具有与</w:t>
      </w:r>
      <w:r>
        <w:rPr>
          <w:rFonts w:hint="eastAsia" w:ascii="彩虹粗仿宋" w:hAnsi="Segoe UI" w:eastAsia="彩虹粗仿宋" w:cs="Segoe UI"/>
          <w:color w:val="333333"/>
          <w:sz w:val="32"/>
          <w:szCs w:val="32"/>
        </w:rPr>
        <w:t>银行业开展同类营销活动运营服务合作的实施案例，符合资格要求有与</w:t>
      </w:r>
      <w:r>
        <w:rPr>
          <w:rFonts w:hint="eastAsia" w:ascii="彩虹粗仿宋" w:hAnsi="Segoe UI" w:eastAsia="彩虹粗仿宋" w:cs="Segoe UI"/>
          <w:color w:val="333333"/>
          <w:sz w:val="32"/>
          <w:szCs w:val="32"/>
          <w:lang w:val="en-US" w:eastAsia="zh-CN"/>
        </w:rPr>
        <w:t>建行</w:t>
      </w:r>
      <w:r>
        <w:rPr>
          <w:rFonts w:hint="eastAsia" w:ascii="彩虹粗仿宋" w:hAnsi="Segoe UI" w:eastAsia="彩虹粗仿宋" w:cs="Segoe UI"/>
          <w:color w:val="333333"/>
          <w:sz w:val="32"/>
          <w:szCs w:val="32"/>
        </w:rPr>
        <w:t>合作案例的企业优先。</w:t>
      </w:r>
    </w:p>
    <w:bookmarkEnd w:id="0"/>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pStyle w:val="4"/>
        <w:shd w:val="clear" w:color="auto" w:fill="FFFFFF"/>
        <w:spacing w:before="0" w:beforeAutospacing="0" w:after="0" w:afterAutospacing="0" w:line="645" w:lineRule="atLeast"/>
        <w:ind w:firstLine="480"/>
        <w:rPr>
          <w:rFonts w:ascii="彩虹粗仿宋" w:hAnsi="彩虹粗仿宋" w:eastAsia="彩虹粗仿宋"/>
          <w:sz w:val="32"/>
          <w:szCs w:val="32"/>
        </w:rPr>
      </w:pPr>
      <w:r>
        <w:rPr>
          <w:rFonts w:hint="eastAsia" w:ascii="彩虹粗仿宋" w:hAnsi="Segoe UI" w:eastAsia="彩虹粗仿宋" w:cs="Segoe UI"/>
          <w:color w:val="333333"/>
          <w:sz w:val="32"/>
          <w:szCs w:val="32"/>
        </w:rPr>
        <w:t>1、</w:t>
      </w:r>
      <w:r>
        <w:rPr>
          <w:rFonts w:hint="eastAsia" w:ascii="彩虹粗仿宋" w:hAnsi="彩虹粗仿宋" w:eastAsia="彩虹粗仿宋"/>
          <w:sz w:val="32"/>
          <w:szCs w:val="32"/>
        </w:rPr>
        <w:t>发放优惠券：配合活动方案制定，优惠券及优惠红包发放。</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037"/>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活动类型 </w:t>
            </w:r>
          </w:p>
        </w:tc>
        <w:tc>
          <w:tcPr>
            <w:tcW w:w="4037"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活动形式</w:t>
            </w:r>
          </w:p>
        </w:tc>
        <w:tc>
          <w:tcPr>
            <w:tcW w:w="0" w:type="auto"/>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优惠券形式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134"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w:t>
            </w:r>
            <w:r>
              <w:rPr>
                <w:rFonts w:hint="eastAsia"/>
              </w:rPr>
              <w:t xml:space="preserve"> </w:t>
            </w:r>
            <w:r>
              <w:rPr>
                <w:rFonts w:hint="eastAsia" w:ascii="宋体" w:hAnsi="宋体" w:eastAsia="宋体" w:cs="宋体"/>
                <w:b/>
                <w:bCs/>
                <w:color w:val="000000"/>
                <w:kern w:val="0"/>
                <w:szCs w:val="21"/>
              </w:rPr>
              <w:t>建行生活属地化和总行中心化营销活动</w:t>
            </w:r>
          </w:p>
        </w:tc>
        <w:tc>
          <w:tcPr>
            <w:tcW w:w="4037"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活动形式包括但不限于平台拉新活动、平台活跃活动、金融转化活动：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1.平台拉新活动：包括但不限于新人有礼、裂变拼团、邀约大使。</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2.平台活跃活动:包括但不限于限时抢券、好券中心、签到有礼、幸运抽奖、达标有礼活动。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金融转化活动:包括但不限于钱包首单立减、钱包随机减、建行生活卡新客见面礼、建行生活卡随机减、达标月月领好礼、建行生活卡超级积分、CC豆兑换、手机银行兑换码、属地化场景推广、政府消费券、龙卡专享等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4.微信立减金、数字人民币红包发放等活动。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特色场景推广活动：针对建行生活场景建设开展专项的体验活动，包括且不限于交通出行、生活缴费、商超餐饮、文化旅游、智慧食堂、建融惠学等行内外场景通过优惠券、满减券、定向派券、权益配置等活动引导客户消费体验。</w:t>
            </w:r>
          </w:p>
        </w:tc>
        <w:tc>
          <w:tcPr>
            <w:tcW w:w="0" w:type="auto"/>
            <w:vMerge w:val="restart"/>
            <w:shd w:val="clear" w:color="auto" w:fill="auto"/>
            <w:vAlign w:val="center"/>
          </w:tcPr>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折扣券：包括1-9.9折各类型折扣，单笔封顶1-1000元不等。</w:t>
            </w:r>
          </w:p>
          <w:p>
            <w:pPr>
              <w:pStyle w:val="10"/>
              <w:widowControl/>
              <w:ind w:left="360" w:firstLine="0" w:firstLineChars="0"/>
              <w:jc w:val="left"/>
              <w:rPr>
                <w:rFonts w:ascii="宋体" w:hAnsi="宋体" w:eastAsia="宋体" w:cs="宋体"/>
                <w:color w:val="000000"/>
                <w:kern w:val="0"/>
                <w:szCs w:val="21"/>
              </w:rPr>
            </w:pPr>
          </w:p>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满减券（信用卡专享、嗨GO商圈、美食好券、厦门心意礼包等）。满A元减B元（其中A&gt;B&gt;0），根据活动形式灵活调整。</w:t>
            </w:r>
          </w:p>
          <w:p>
            <w:pPr>
              <w:pStyle w:val="10"/>
              <w:rPr>
                <w:rFonts w:ascii="宋体" w:hAnsi="宋体" w:eastAsia="宋体" w:cs="宋体"/>
                <w:color w:val="000000"/>
                <w:kern w:val="0"/>
                <w:szCs w:val="21"/>
              </w:rPr>
            </w:pPr>
          </w:p>
          <w:p>
            <w:pPr>
              <w:pStyle w:val="10"/>
              <w:widowControl/>
              <w:ind w:left="360" w:firstLine="0" w:firstLineChars="0"/>
              <w:jc w:val="left"/>
              <w:rPr>
                <w:rFonts w:ascii="宋体" w:hAnsi="宋体" w:eastAsia="宋体" w:cs="宋体"/>
                <w:color w:val="000000"/>
                <w:kern w:val="0"/>
                <w:szCs w:val="21"/>
              </w:rPr>
            </w:pPr>
          </w:p>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有价券（代金券、团餐、特定门店专属等）：A元购B元（其中0&lt;A&lt;B）, 根据活动形式灵活调整。</w:t>
            </w:r>
          </w:p>
          <w:p>
            <w:pPr>
              <w:pStyle w:val="10"/>
              <w:widowControl/>
              <w:ind w:left="360" w:firstLine="0" w:firstLineChars="0"/>
              <w:jc w:val="left"/>
              <w:rPr>
                <w:rFonts w:ascii="宋体" w:hAnsi="宋体" w:eastAsia="宋体" w:cs="宋体"/>
                <w:color w:val="000000"/>
                <w:kern w:val="0"/>
                <w:szCs w:val="21"/>
              </w:rPr>
            </w:pPr>
          </w:p>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数字人民币红包：1-100元红包不等。</w:t>
            </w:r>
          </w:p>
          <w:p>
            <w:pPr>
              <w:pStyle w:val="10"/>
              <w:widowControl/>
              <w:ind w:left="360" w:firstLine="0" w:firstLineChars="0"/>
              <w:jc w:val="left"/>
              <w:rPr>
                <w:rFonts w:ascii="宋体" w:hAnsi="宋体" w:eastAsia="宋体" w:cs="宋体"/>
                <w:color w:val="000000"/>
                <w:kern w:val="0"/>
                <w:szCs w:val="21"/>
              </w:rPr>
            </w:pPr>
          </w:p>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随机立减：数字人民币随机立减金1-999元不等。</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1134" w:type="dxa"/>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2.数字人民币活动</w:t>
            </w:r>
          </w:p>
        </w:tc>
        <w:tc>
          <w:tcPr>
            <w:tcW w:w="4037"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活动形式包括但不限于平台拉新活动、特色场景推广活动、商户促活活动：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平台拉新活动：主要依托建行生活、手机银行“双子星”平台，通过新人礼、优惠券、随机立减、消费达标赠券等活动模式，结合定向派券工具、钱包开立牌“即开即送优惠券”工具，持续进行个人钱包拉新、消费交易促活。</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特色场景推广活动：针对数币受理场景建设开展专项的消费体验活动，包括且不限于交通出行、生活缴费、商超餐饮、文化旅游、智慧食堂等行内外场景通过优惠券、满减券、数字人民币红包、定向派券、权益配置等活动引导客户消费体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3.定向客群活动：针对指定用户，发放数字人民币红包等。</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4.拉新促活活动：通过随机减、满减券、红包等活动进行拉新促活。</w:t>
            </w:r>
          </w:p>
        </w:tc>
        <w:tc>
          <w:tcPr>
            <w:tcW w:w="0" w:type="auto"/>
            <w:vMerge w:val="continue"/>
            <w:shd w:val="clear" w:color="auto" w:fill="auto"/>
            <w:vAlign w:val="center"/>
          </w:tcPr>
          <w:p>
            <w:pPr>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134" w:type="dxa"/>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3.</w:t>
            </w:r>
            <w:r>
              <w:rPr>
                <w:rFonts w:hint="eastAsia"/>
              </w:rPr>
              <w:t xml:space="preserve"> </w:t>
            </w:r>
            <w:r>
              <w:rPr>
                <w:rFonts w:hint="eastAsia" w:ascii="宋体" w:hAnsi="宋体" w:eastAsia="宋体" w:cs="宋体"/>
                <w:b/>
                <w:bCs/>
                <w:color w:val="000000"/>
                <w:kern w:val="0"/>
                <w:szCs w:val="21"/>
              </w:rPr>
              <w:t>与其他网点与部门合作活动</w:t>
            </w:r>
          </w:p>
        </w:tc>
        <w:tc>
          <w:tcPr>
            <w:tcW w:w="4037"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活动形式包括但不限于平台拉新活动、平台活跃活动、金融转化活动：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1.平台拉新活动：包括但不限于新人客按揭有礼、建易贷新客有礼住房租贷有礼。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2.平台活跃活动:包括但不限于限时抢券、好券中心、签到有礼、幸运抽奖、达标有礼活动。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3.金融转化活动:包括但不限于钱包首单立减、钱包随机减、建行生活卡新客见面礼、建行生活卡随机减、达标月月领好礼、建行生活卡超级积分、CC豆兑换、手机银行兑换码、龙卡专享、属地化场景推广等活动。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4.微信立减金、数字人民币红包、信用卡满减券发放等活动。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特色场景推广活动：针对建行生活场景建设开展专项的体验活动，包括且不限于交通出行、生活缴费、商超餐饮、文化旅游、智慧食堂、建融惠学等行内外场景通过优惠券、满减券、定向派券、权益配置等活动引导客户消费体验。</w:t>
            </w:r>
          </w:p>
        </w:tc>
        <w:tc>
          <w:tcPr>
            <w:tcW w:w="0" w:type="auto"/>
            <w:vMerge w:val="continue"/>
            <w:shd w:val="clear" w:color="auto" w:fill="auto"/>
            <w:vAlign w:val="center"/>
          </w:tcPr>
          <w:p>
            <w:pPr>
              <w:widowControl/>
              <w:jc w:val="left"/>
              <w:rPr>
                <w:rFonts w:ascii="宋体" w:hAnsi="宋体" w:eastAsia="宋体" w:cs="宋体"/>
                <w:color w:val="000000"/>
                <w:kern w:val="0"/>
                <w:szCs w:val="21"/>
              </w:rPr>
            </w:pPr>
          </w:p>
        </w:tc>
      </w:tr>
    </w:tbl>
    <w:p>
      <w:pPr>
        <w:pStyle w:val="4"/>
        <w:shd w:val="clear" w:color="auto" w:fill="FFFFFF"/>
        <w:spacing w:before="0" w:beforeAutospacing="0" w:after="0" w:afterAutospacing="0" w:line="645" w:lineRule="atLeast"/>
        <w:ind w:firstLine="480"/>
        <w:rPr>
          <w:rFonts w:ascii="彩虹粗仿宋" w:hAnsi="彩虹粗仿宋" w:eastAsia="彩虹粗仿宋"/>
          <w:sz w:val="32"/>
          <w:szCs w:val="32"/>
        </w:rPr>
      </w:pPr>
      <w:r>
        <w:rPr>
          <w:rFonts w:hint="eastAsia" w:ascii="彩虹粗仿宋" w:hAnsi="Segoe UI" w:eastAsia="彩虹粗仿宋" w:cs="Segoe UI"/>
          <w:color w:val="333333"/>
          <w:sz w:val="32"/>
          <w:szCs w:val="32"/>
        </w:rPr>
        <w:t>2、</w:t>
      </w:r>
      <w:r>
        <w:rPr>
          <w:rFonts w:hint="eastAsia" w:ascii="彩虹粗仿宋" w:hAnsi="彩虹粗仿宋" w:eastAsia="彩虹粗仿宋"/>
          <w:sz w:val="32"/>
          <w:szCs w:val="32"/>
        </w:rPr>
        <w:t>商户沟通：营销活动商户沟通、培训。</w:t>
      </w:r>
    </w:p>
    <w:p>
      <w:pPr>
        <w:pStyle w:val="4"/>
        <w:shd w:val="clear" w:color="auto" w:fill="FFFFFF"/>
        <w:spacing w:before="0" w:beforeAutospacing="0" w:after="0" w:afterAutospacing="0" w:line="645" w:lineRule="atLeast"/>
        <w:ind w:firstLine="480"/>
        <w:rPr>
          <w:rFonts w:ascii="彩虹粗仿宋" w:hAnsi="彩虹粗仿宋" w:eastAsia="彩虹粗仿宋"/>
          <w:sz w:val="32"/>
          <w:szCs w:val="32"/>
        </w:rPr>
      </w:pPr>
      <w:r>
        <w:rPr>
          <w:rFonts w:hint="eastAsia" w:ascii="彩虹粗仿宋" w:hAnsi="彩虹粗仿宋" w:eastAsia="彩虹粗仿宋"/>
          <w:sz w:val="32"/>
          <w:szCs w:val="32"/>
        </w:rPr>
        <w:t>3、资金清算：营销活动优惠资金的对帐与清算。</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580" w:lineRule="exact"/>
        <w:ind w:firstLine="716" w:firstLineChars="224"/>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一）发放营销活动优惠券，并做好营销活动执行与监测。包括在每期营销活动开展前准备好营销费用，配合我行拟定营销活动方案，通过自有渠道协助活动宣传扩大活动效果，动态监测活动费用投放进度并提出合理优化建议。</w:t>
      </w:r>
    </w:p>
    <w:p>
      <w:pPr>
        <w:spacing w:line="580" w:lineRule="exact"/>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（二）做好营销活动的宣传和商户培训，处理和解决商户营销活动执行过程中产生的各类问题。</w:t>
      </w:r>
    </w:p>
    <w:p>
      <w:pPr>
        <w:pStyle w:val="4"/>
        <w:spacing w:before="75" w:beforeAutospacing="0" w:after="75" w:afterAutospacing="0" w:line="495" w:lineRule="atLeast"/>
        <w:ind w:firstLine="645"/>
        <w:rPr>
          <w:rFonts w:ascii="彩虹粗仿宋" w:hAnsi="彩虹粗仿宋" w:eastAsia="彩虹粗仿宋"/>
          <w:sz w:val="32"/>
          <w:szCs w:val="32"/>
        </w:rPr>
      </w:pPr>
      <w:r>
        <w:rPr>
          <w:rFonts w:hint="eastAsia" w:ascii="彩虹粗仿宋" w:hAnsi="彩虹粗仿宋" w:eastAsia="彩虹粗仿宋"/>
          <w:sz w:val="32"/>
          <w:szCs w:val="32"/>
        </w:rPr>
        <w:t>（三）做好商户对账及差错处理，并按要求完成营销活动优惠券资金对账和清算执行。</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粗仿宋" w:hAnsi="微软雅黑" w:eastAsia="彩虹粗仿宋" w:cs="Segoe UI"/>
          <w:color w:val="333333"/>
          <w:sz w:val="32"/>
          <w:szCs w:val="32"/>
        </w:rPr>
        <w:t>服务供应商具有与其业务范围相适应的服务人员和管理人员，具有与其业务范围相适应的固定的经营场所、一定数量的设备、设施，具备相应的产品供货能力。</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1、服务供应商按照本合同约定的服务内容和服务要求按时向我行提供合格的服务；服务期内服务供应商有义务对所提供的服务按照我行要求不断调整，以达到服务的优化。</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2、信息保密方面。服务供应商应严守我行的商业秘密、技术秘密、客户信息和其他商业及业务信息，不得泄露。</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六、服务供应安排</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snapToGrid w:val="0"/>
          <w:color w:val="000000" w:themeColor="text1"/>
          <w:kern w:val="0"/>
          <w:sz w:val="32"/>
          <w:szCs w:val="32"/>
          <w14:textFill>
            <w14:solidFill>
              <w14:schemeClr w14:val="tx1"/>
            </w14:solidFill>
          </w14:textFill>
        </w:rPr>
        <w:t>1</w:t>
      </w:r>
      <w:r>
        <w:rPr>
          <w:rFonts w:ascii="彩虹粗仿宋" w:hAnsi="宋体" w:eastAsia="彩虹粗仿宋"/>
          <w:snapToGrid w:val="0"/>
          <w:color w:val="000000" w:themeColor="text1"/>
          <w:kern w:val="0"/>
          <w:sz w:val="32"/>
          <w:szCs w:val="32"/>
          <w14:textFill>
            <w14:solidFill>
              <w14:schemeClr w14:val="tx1"/>
            </w14:solidFill>
          </w14:textFill>
        </w:rPr>
        <w:t>.</w:t>
      </w:r>
      <w:r>
        <w:rPr>
          <w:rFonts w:hint="eastAsia" w:ascii="彩虹粗仿宋" w:hAnsi="宋体" w:eastAsia="彩虹粗仿宋"/>
          <w:snapToGrid w:val="0"/>
          <w:color w:val="000000" w:themeColor="text1"/>
          <w:kern w:val="0"/>
          <w:sz w:val="32"/>
          <w:szCs w:val="32"/>
          <w14:textFill>
            <w14:solidFill>
              <w14:schemeClr w14:val="tx1"/>
            </w14:solidFill>
          </w14:textFill>
        </w:rPr>
        <w:t>活动开展前，配合我方完成活动方案制定及优惠券发放的申请。需要时做好参加活动商户的沟通工作。</w:t>
      </w:r>
    </w:p>
    <w:p>
      <w:pPr>
        <w:spacing w:line="560" w:lineRule="exact"/>
        <w:ind w:firstLine="640" w:firstLineChars="200"/>
        <w:rPr>
          <w:rFonts w:ascii="彩虹粗仿宋" w:hAnsi="彩虹粗仿宋" w:eastAsia="彩虹粗仿宋" w:cs="宋体"/>
          <w:kern w:val="0"/>
          <w:sz w:val="32"/>
          <w:szCs w:val="32"/>
        </w:rPr>
      </w:pPr>
      <w:r>
        <w:rPr>
          <w:rFonts w:hint="eastAsia" w:ascii="彩虹粗仿宋" w:hAnsi="宋体" w:eastAsia="彩虹粗仿宋"/>
          <w:snapToGrid w:val="0"/>
          <w:color w:val="000000" w:themeColor="text1"/>
          <w:kern w:val="0"/>
          <w:sz w:val="32"/>
          <w:szCs w:val="32"/>
          <w14:textFill>
            <w14:solidFill>
              <w14:schemeClr w14:val="tx1"/>
            </w14:solidFill>
          </w14:textFill>
        </w:rPr>
        <w:t>2. 活动开展时，可通过</w:t>
      </w:r>
      <w:r>
        <w:rPr>
          <w:rFonts w:hint="eastAsia" w:ascii="彩虹粗仿宋" w:hAnsi="彩虹粗仿宋" w:eastAsia="彩虹粗仿宋" w:cs="宋体"/>
          <w:kern w:val="0"/>
          <w:sz w:val="32"/>
          <w:szCs w:val="32"/>
        </w:rPr>
        <w:t>自有渠道协助活动宣传，监测活动费用投放进度并提出合理优化建议。协助处理商户营销活动执行过程中产生的问题。</w:t>
      </w:r>
    </w:p>
    <w:p>
      <w:pPr>
        <w:spacing w:line="560" w:lineRule="exact"/>
        <w:ind w:firstLine="640" w:firstLineChars="200"/>
        <w:rPr>
          <w:rFonts w:ascii="彩虹粗仿宋" w:hAnsi="彩虹粗仿宋" w:eastAsia="彩虹粗仿宋" w:cs="宋体"/>
          <w:kern w:val="0"/>
          <w:sz w:val="32"/>
          <w:szCs w:val="32"/>
        </w:rPr>
      </w:pPr>
      <w:r>
        <w:rPr>
          <w:rFonts w:hint="eastAsia" w:ascii="彩虹粗仿宋" w:hAnsi="宋体" w:eastAsia="彩虹粗仿宋"/>
          <w:snapToGrid w:val="0"/>
          <w:color w:val="000000" w:themeColor="text1"/>
          <w:kern w:val="0"/>
          <w:sz w:val="32"/>
          <w:szCs w:val="32"/>
          <w14:textFill>
            <w14:solidFill>
              <w14:schemeClr w14:val="tx1"/>
            </w14:solidFill>
          </w14:textFill>
        </w:rPr>
        <w:t>3. 活动结束后，及时开展活动</w:t>
      </w:r>
      <w:r>
        <w:rPr>
          <w:rFonts w:hint="eastAsia" w:ascii="彩虹粗仿宋" w:hAnsi="彩虹粗仿宋" w:eastAsia="彩虹粗仿宋"/>
          <w:sz w:val="32"/>
          <w:szCs w:val="32"/>
        </w:rPr>
        <w:t>优惠券资金对账和清算，向我行反馈对账和清算结果</w:t>
      </w:r>
      <w:r>
        <w:rPr>
          <w:rFonts w:hint="eastAsia" w:ascii="彩虹粗仿宋" w:hAnsi="彩虹粗仿宋" w:eastAsia="彩虹粗仿宋" w:cs="宋体"/>
          <w:kern w:val="0"/>
          <w:sz w:val="32"/>
          <w:szCs w:val="32"/>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建行生活”与“数字人民币”优惠券、红包等是根据不同的活动进行发放，无法提前确定或预估标的数量，故须中标供应商同意按签定框架合同约定的履约标准据实发放后，再根据具体活动的约定在项目周期中定期结算或在项目结束后一次性结算。</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根据服务供应需求，对服务供应在履行合同过程中出现的产品质量、客户或商户投诉等问题，服务供应商应及时响应、协调、沟通，解决相关问题，事后还需跟踪与检查，确保服务质量。</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九、报价要求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十、其他要求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A044C"/>
    <w:multiLevelType w:val="multilevel"/>
    <w:tmpl w:val="0A8A04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16AEB"/>
    <w:rsid w:val="00086DA4"/>
    <w:rsid w:val="000B5C45"/>
    <w:rsid w:val="000B67EB"/>
    <w:rsid w:val="000E7876"/>
    <w:rsid w:val="000F00C7"/>
    <w:rsid w:val="00112CA4"/>
    <w:rsid w:val="00155A37"/>
    <w:rsid w:val="001977B1"/>
    <w:rsid w:val="001D49C0"/>
    <w:rsid w:val="001E436C"/>
    <w:rsid w:val="00202060"/>
    <w:rsid w:val="00241F06"/>
    <w:rsid w:val="002B3FC3"/>
    <w:rsid w:val="002B610B"/>
    <w:rsid w:val="002C7658"/>
    <w:rsid w:val="00311961"/>
    <w:rsid w:val="00321D95"/>
    <w:rsid w:val="003901AB"/>
    <w:rsid w:val="0043538E"/>
    <w:rsid w:val="00444B67"/>
    <w:rsid w:val="00483676"/>
    <w:rsid w:val="004F6082"/>
    <w:rsid w:val="005723DF"/>
    <w:rsid w:val="005C4951"/>
    <w:rsid w:val="005D1D74"/>
    <w:rsid w:val="005E35B5"/>
    <w:rsid w:val="0062736D"/>
    <w:rsid w:val="006645FA"/>
    <w:rsid w:val="0070232D"/>
    <w:rsid w:val="00734A26"/>
    <w:rsid w:val="00734C6F"/>
    <w:rsid w:val="007F53A5"/>
    <w:rsid w:val="007F6140"/>
    <w:rsid w:val="007F6D88"/>
    <w:rsid w:val="00855AEA"/>
    <w:rsid w:val="00870477"/>
    <w:rsid w:val="008D5BE6"/>
    <w:rsid w:val="008F6AA4"/>
    <w:rsid w:val="00902DBE"/>
    <w:rsid w:val="00966014"/>
    <w:rsid w:val="00A1583A"/>
    <w:rsid w:val="00A41498"/>
    <w:rsid w:val="00A82E93"/>
    <w:rsid w:val="00B71BB6"/>
    <w:rsid w:val="00B72F6D"/>
    <w:rsid w:val="00B8313C"/>
    <w:rsid w:val="00B84FDC"/>
    <w:rsid w:val="00C22BBB"/>
    <w:rsid w:val="00C36E16"/>
    <w:rsid w:val="00CC140A"/>
    <w:rsid w:val="00CD1CB8"/>
    <w:rsid w:val="00D732A4"/>
    <w:rsid w:val="00DE1F48"/>
    <w:rsid w:val="00DE4BFD"/>
    <w:rsid w:val="00E73CB9"/>
    <w:rsid w:val="00F91A54"/>
    <w:rsid w:val="00F973F5"/>
    <w:rsid w:val="00FB0D5B"/>
    <w:rsid w:val="00FB249C"/>
    <w:rsid w:val="00FB768E"/>
    <w:rsid w:val="00FD1437"/>
    <w:rsid w:val="3DC72CA7"/>
    <w:rsid w:val="40B37534"/>
    <w:rsid w:val="6B3632E9"/>
    <w:rsid w:val="7463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semiHidden/>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2075</Characters>
  <Lines>17</Lines>
  <Paragraphs>4</Paragraphs>
  <TotalTime>0</TotalTime>
  <ScaleCrop>false</ScaleCrop>
  <LinksUpToDate>false</LinksUpToDate>
  <CharactersWithSpaces>2434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2023-08-16T02:19:00Z</dcterms:created>
  <dc:creator>Apache POI</dc:creator>
  <cp:lastModifiedBy>Administrator</cp:lastModifiedBy>
  <dcterms:modified xsi:type="dcterms:W3CDTF">2025-10-23T03:19:06Z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599762DEACB74B07BC9C345ED2731430_12</vt:lpwstr>
  </property>
</Properties>
</file>