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40AF4F" w14:textId="77777777" w:rsidR="00353BD1" w:rsidRDefault="00353BD1">
      <w:pPr>
        <w:adjustRightInd w:val="0"/>
        <w:snapToGrid w:val="0"/>
        <w:spacing w:line="360" w:lineRule="auto"/>
        <w:jc w:val="center"/>
        <w:rPr>
          <w:rFonts w:ascii="宋体" w:hAnsi="宋体" w:cs="Arial"/>
          <w:sz w:val="24"/>
        </w:rPr>
      </w:pPr>
    </w:p>
    <w:p w14:paraId="1B921828" w14:textId="77777777" w:rsidR="00353BD1" w:rsidRDefault="00353BD1">
      <w:pPr>
        <w:adjustRightInd w:val="0"/>
        <w:snapToGrid w:val="0"/>
        <w:spacing w:line="360" w:lineRule="auto"/>
        <w:jc w:val="center"/>
        <w:rPr>
          <w:rFonts w:ascii="宋体" w:hAnsi="宋体" w:cs="Arial"/>
          <w:sz w:val="24"/>
        </w:rPr>
      </w:pPr>
    </w:p>
    <w:p w14:paraId="4EB581AF" w14:textId="77777777" w:rsidR="00353BD1" w:rsidRDefault="00353BD1">
      <w:pPr>
        <w:adjustRightInd w:val="0"/>
        <w:snapToGrid w:val="0"/>
        <w:spacing w:line="360" w:lineRule="auto"/>
        <w:jc w:val="center"/>
        <w:rPr>
          <w:rFonts w:ascii="宋体" w:hAnsi="宋体" w:cs="Arial"/>
          <w:sz w:val="24"/>
        </w:rPr>
      </w:pPr>
    </w:p>
    <w:p w14:paraId="243CF789" w14:textId="77777777" w:rsidR="00353BD1" w:rsidRDefault="00353BD1">
      <w:pPr>
        <w:adjustRightInd w:val="0"/>
        <w:snapToGrid w:val="0"/>
        <w:spacing w:line="360" w:lineRule="auto"/>
        <w:jc w:val="center"/>
        <w:rPr>
          <w:rFonts w:ascii="宋体" w:hAnsi="宋体" w:cs="Arial"/>
          <w:sz w:val="24"/>
        </w:rPr>
      </w:pPr>
    </w:p>
    <w:p w14:paraId="51F0F7E5" w14:textId="77777777" w:rsidR="00353BD1" w:rsidRDefault="00353BD1">
      <w:pPr>
        <w:adjustRightInd w:val="0"/>
        <w:snapToGrid w:val="0"/>
        <w:spacing w:line="360" w:lineRule="auto"/>
        <w:jc w:val="center"/>
        <w:rPr>
          <w:rFonts w:ascii="宋体" w:hAnsi="宋体" w:cs="Arial"/>
          <w:sz w:val="24"/>
        </w:rPr>
      </w:pPr>
    </w:p>
    <w:p w14:paraId="2462DDB7" w14:textId="77777777" w:rsidR="00353BD1" w:rsidRDefault="00353BD1">
      <w:pPr>
        <w:adjustRightInd w:val="0"/>
        <w:snapToGrid w:val="0"/>
        <w:spacing w:line="360" w:lineRule="auto"/>
        <w:jc w:val="center"/>
        <w:rPr>
          <w:rFonts w:ascii="宋体" w:hAnsi="宋体" w:cs="Arial"/>
          <w:sz w:val="24"/>
        </w:rPr>
      </w:pPr>
    </w:p>
    <w:p w14:paraId="24893575" w14:textId="77777777" w:rsidR="006C53E4" w:rsidRDefault="0084246F" w:rsidP="0084246F">
      <w:pPr>
        <w:adjustRightInd w:val="0"/>
        <w:snapToGrid w:val="0"/>
        <w:spacing w:line="360" w:lineRule="auto"/>
        <w:jc w:val="center"/>
        <w:rPr>
          <w:rFonts w:ascii="宋体" w:hAnsi="宋体" w:cs="Arial"/>
          <w:b/>
          <w:sz w:val="44"/>
        </w:rPr>
      </w:pPr>
      <w:r>
        <w:rPr>
          <w:rFonts w:ascii="宋体" w:hAnsi="宋体" w:cs="Arial" w:hint="eastAsia"/>
          <w:b/>
          <w:sz w:val="44"/>
        </w:rPr>
        <w:t>广发稳航混合型证券投资基金</w:t>
      </w:r>
    </w:p>
    <w:p w14:paraId="7FE080EE" w14:textId="480B63D9" w:rsidR="00353BD1" w:rsidRDefault="00064D22" w:rsidP="0084246F">
      <w:pPr>
        <w:adjustRightInd w:val="0"/>
        <w:snapToGrid w:val="0"/>
        <w:spacing w:line="360" w:lineRule="auto"/>
        <w:jc w:val="center"/>
        <w:rPr>
          <w:rFonts w:ascii="宋体" w:hAnsi="宋体" w:cs="Arial"/>
          <w:b/>
          <w:sz w:val="44"/>
        </w:rPr>
      </w:pPr>
      <w:r>
        <w:rPr>
          <w:rFonts w:ascii="宋体" w:hAnsi="宋体" w:cs="Arial" w:hint="eastAsia"/>
          <w:b/>
          <w:sz w:val="44"/>
        </w:rPr>
        <w:t>托管协议</w:t>
      </w:r>
    </w:p>
    <w:p w14:paraId="62BF274A" w14:textId="322FD054" w:rsidR="00353BD1" w:rsidRDefault="00353BD1">
      <w:pPr>
        <w:adjustRightInd w:val="0"/>
        <w:snapToGrid w:val="0"/>
        <w:spacing w:line="360" w:lineRule="auto"/>
        <w:jc w:val="center"/>
        <w:rPr>
          <w:rFonts w:ascii="宋体" w:hAnsi="宋体" w:cs="Arial"/>
          <w:b/>
          <w:sz w:val="44"/>
        </w:rPr>
      </w:pPr>
    </w:p>
    <w:p w14:paraId="5A533366" w14:textId="77777777" w:rsidR="00353BD1" w:rsidRDefault="00353BD1">
      <w:pPr>
        <w:adjustRightInd w:val="0"/>
        <w:snapToGrid w:val="0"/>
        <w:spacing w:line="360" w:lineRule="auto"/>
        <w:jc w:val="center"/>
        <w:outlineLvl w:val="0"/>
        <w:rPr>
          <w:rFonts w:ascii="宋体" w:hAnsi="宋体" w:cs="Arial"/>
          <w:sz w:val="24"/>
        </w:rPr>
      </w:pPr>
    </w:p>
    <w:p w14:paraId="44E7B103" w14:textId="5A637E93" w:rsidR="00353BD1" w:rsidRDefault="00353BD1">
      <w:pPr>
        <w:adjustRightInd w:val="0"/>
        <w:snapToGrid w:val="0"/>
        <w:spacing w:line="360" w:lineRule="auto"/>
        <w:jc w:val="center"/>
        <w:outlineLvl w:val="0"/>
        <w:rPr>
          <w:rFonts w:ascii="宋体" w:hAnsi="宋体" w:cs="Arial"/>
          <w:sz w:val="24"/>
        </w:rPr>
      </w:pPr>
    </w:p>
    <w:p w14:paraId="35FBBC13" w14:textId="493050F0" w:rsidR="0084246F" w:rsidRDefault="0084246F">
      <w:pPr>
        <w:adjustRightInd w:val="0"/>
        <w:snapToGrid w:val="0"/>
        <w:spacing w:line="360" w:lineRule="auto"/>
        <w:jc w:val="center"/>
        <w:outlineLvl w:val="0"/>
        <w:rPr>
          <w:rFonts w:ascii="宋体" w:hAnsi="宋体" w:cs="Arial"/>
          <w:sz w:val="24"/>
        </w:rPr>
      </w:pPr>
    </w:p>
    <w:p w14:paraId="5D9DEA64" w14:textId="5955B314" w:rsidR="0084246F" w:rsidRDefault="0084246F">
      <w:pPr>
        <w:adjustRightInd w:val="0"/>
        <w:snapToGrid w:val="0"/>
        <w:spacing w:line="360" w:lineRule="auto"/>
        <w:jc w:val="center"/>
        <w:outlineLvl w:val="0"/>
        <w:rPr>
          <w:rFonts w:ascii="宋体" w:hAnsi="宋体" w:cs="Arial"/>
          <w:sz w:val="24"/>
        </w:rPr>
      </w:pPr>
    </w:p>
    <w:p w14:paraId="47C3FEAD" w14:textId="77777777" w:rsidR="0084246F" w:rsidRDefault="0084246F">
      <w:pPr>
        <w:adjustRightInd w:val="0"/>
        <w:snapToGrid w:val="0"/>
        <w:spacing w:line="360" w:lineRule="auto"/>
        <w:jc w:val="center"/>
        <w:outlineLvl w:val="0"/>
        <w:rPr>
          <w:rFonts w:ascii="宋体" w:hAnsi="宋体" w:cs="Arial"/>
          <w:sz w:val="24"/>
        </w:rPr>
      </w:pPr>
    </w:p>
    <w:p w14:paraId="077E9B95" w14:textId="77777777" w:rsidR="00353BD1" w:rsidRDefault="00353BD1">
      <w:pPr>
        <w:adjustRightInd w:val="0"/>
        <w:snapToGrid w:val="0"/>
        <w:spacing w:line="360" w:lineRule="auto"/>
        <w:jc w:val="center"/>
        <w:outlineLvl w:val="0"/>
        <w:rPr>
          <w:rFonts w:ascii="宋体" w:hAnsi="宋体" w:cs="Arial"/>
          <w:sz w:val="24"/>
        </w:rPr>
      </w:pPr>
    </w:p>
    <w:p w14:paraId="1F234E4A" w14:textId="77777777" w:rsidR="00353BD1" w:rsidRDefault="00353BD1">
      <w:pPr>
        <w:adjustRightInd w:val="0"/>
        <w:snapToGrid w:val="0"/>
        <w:spacing w:line="360" w:lineRule="auto"/>
        <w:jc w:val="center"/>
        <w:outlineLvl w:val="0"/>
        <w:rPr>
          <w:rFonts w:ascii="宋体" w:hAnsi="宋体" w:cs="Arial"/>
          <w:sz w:val="24"/>
        </w:rPr>
      </w:pPr>
    </w:p>
    <w:p w14:paraId="287F3856" w14:textId="77777777" w:rsidR="00353BD1" w:rsidRDefault="00353BD1">
      <w:pPr>
        <w:adjustRightInd w:val="0"/>
        <w:snapToGrid w:val="0"/>
        <w:spacing w:line="360" w:lineRule="auto"/>
        <w:jc w:val="center"/>
        <w:outlineLvl w:val="0"/>
        <w:rPr>
          <w:rFonts w:ascii="宋体" w:hAnsi="宋体" w:cs="Arial"/>
          <w:sz w:val="24"/>
        </w:rPr>
      </w:pPr>
    </w:p>
    <w:p w14:paraId="33A111B6" w14:textId="77777777" w:rsidR="00353BD1" w:rsidRDefault="00353BD1">
      <w:pPr>
        <w:adjustRightInd w:val="0"/>
        <w:snapToGrid w:val="0"/>
        <w:spacing w:line="360" w:lineRule="auto"/>
        <w:jc w:val="center"/>
        <w:outlineLvl w:val="0"/>
        <w:rPr>
          <w:rFonts w:ascii="宋体" w:hAnsi="宋体" w:cs="Arial"/>
          <w:sz w:val="24"/>
        </w:rPr>
      </w:pPr>
    </w:p>
    <w:p w14:paraId="45313E1F" w14:textId="77777777" w:rsidR="00353BD1" w:rsidRDefault="00064D22">
      <w:pPr>
        <w:adjustRightInd w:val="0"/>
        <w:snapToGrid w:val="0"/>
        <w:spacing w:line="360" w:lineRule="auto"/>
        <w:jc w:val="center"/>
        <w:outlineLvl w:val="0"/>
        <w:rPr>
          <w:rFonts w:ascii="宋体" w:hAnsi="宋体" w:cs="Arial"/>
          <w:b/>
          <w:bCs/>
          <w:sz w:val="28"/>
        </w:rPr>
      </w:pPr>
      <w:r>
        <w:rPr>
          <w:rFonts w:ascii="宋体" w:hAnsi="宋体" w:cs="Arial" w:hint="eastAsia"/>
          <w:b/>
          <w:bCs/>
          <w:sz w:val="28"/>
        </w:rPr>
        <w:t>基金管理人：广发基金管理有限公司</w:t>
      </w:r>
    </w:p>
    <w:p w14:paraId="0D28FE49" w14:textId="77777777" w:rsidR="00353BD1" w:rsidRDefault="00064D22">
      <w:pPr>
        <w:adjustRightInd w:val="0"/>
        <w:snapToGrid w:val="0"/>
        <w:spacing w:line="360" w:lineRule="auto"/>
        <w:jc w:val="center"/>
        <w:outlineLvl w:val="0"/>
        <w:rPr>
          <w:rFonts w:ascii="宋体" w:hAnsi="宋体" w:cs="Arial"/>
          <w:b/>
          <w:bCs/>
          <w:sz w:val="28"/>
        </w:rPr>
      </w:pPr>
      <w:r>
        <w:rPr>
          <w:rFonts w:ascii="宋体" w:hAnsi="宋体" w:cs="Arial" w:hint="eastAsia"/>
          <w:b/>
          <w:bCs/>
          <w:sz w:val="28"/>
        </w:rPr>
        <w:t xml:space="preserve">    基金托管人：中国建设银行股份有限公司</w:t>
      </w:r>
    </w:p>
    <w:p w14:paraId="78AFF3E2" w14:textId="77777777" w:rsidR="00353BD1" w:rsidRDefault="00353BD1" w:rsidP="00E50F8F"/>
    <w:p w14:paraId="112C1C3E" w14:textId="77777777" w:rsidR="00353BD1" w:rsidRDefault="00064D22" w:rsidP="00E50F8F">
      <w:r>
        <w:rPr>
          <w:rFonts w:hint="eastAsia"/>
        </w:rPr>
        <w:t xml:space="preserve">                       </w:t>
      </w:r>
    </w:p>
    <w:p w14:paraId="644422CE" w14:textId="77777777" w:rsidR="00353BD1" w:rsidRDefault="00353BD1">
      <w:pPr>
        <w:adjustRightInd w:val="0"/>
        <w:snapToGrid w:val="0"/>
        <w:spacing w:line="360" w:lineRule="auto"/>
        <w:jc w:val="center"/>
        <w:rPr>
          <w:rFonts w:ascii="宋体" w:hAnsi="宋体" w:cs="Arial"/>
          <w:bCs/>
          <w:sz w:val="24"/>
        </w:rPr>
      </w:pPr>
    </w:p>
    <w:p w14:paraId="24F82017" w14:textId="77777777" w:rsidR="00353BD1" w:rsidRDefault="00353BD1">
      <w:pPr>
        <w:adjustRightInd w:val="0"/>
        <w:snapToGrid w:val="0"/>
        <w:spacing w:line="360" w:lineRule="auto"/>
        <w:jc w:val="center"/>
        <w:rPr>
          <w:rFonts w:ascii="宋体" w:hAnsi="宋体" w:cs="Arial"/>
          <w:bCs/>
          <w:sz w:val="24"/>
        </w:rPr>
      </w:pPr>
    </w:p>
    <w:p w14:paraId="5DF3D15E" w14:textId="77777777" w:rsidR="00353BD1" w:rsidRDefault="00353BD1">
      <w:pPr>
        <w:adjustRightInd w:val="0"/>
        <w:snapToGrid w:val="0"/>
        <w:spacing w:line="360" w:lineRule="auto"/>
        <w:jc w:val="center"/>
        <w:rPr>
          <w:rFonts w:ascii="宋体" w:hAnsi="宋体" w:cs="Arial"/>
          <w:bCs/>
          <w:sz w:val="24"/>
        </w:rPr>
      </w:pPr>
    </w:p>
    <w:p w14:paraId="0D4C91F9" w14:textId="77777777" w:rsidR="00353BD1" w:rsidRDefault="00353BD1">
      <w:pPr>
        <w:adjustRightInd w:val="0"/>
        <w:snapToGrid w:val="0"/>
        <w:spacing w:line="360" w:lineRule="auto"/>
        <w:jc w:val="center"/>
        <w:rPr>
          <w:rFonts w:ascii="宋体" w:hAnsi="宋体" w:cs="Arial"/>
          <w:bCs/>
          <w:sz w:val="24"/>
        </w:rPr>
        <w:sectPr w:rsidR="00353BD1">
          <w:headerReference w:type="default" r:id="rId7"/>
          <w:footerReference w:type="even" r:id="rId8"/>
          <w:footerReference w:type="default" r:id="rId9"/>
          <w:pgSz w:w="11906" w:h="16838"/>
          <w:pgMar w:top="1418" w:right="1701" w:bottom="1418" w:left="1701" w:header="851" w:footer="992" w:gutter="0"/>
          <w:cols w:space="720"/>
          <w:docGrid w:type="lines" w:linePitch="312"/>
        </w:sectPr>
      </w:pPr>
    </w:p>
    <w:p w14:paraId="4D88C863" w14:textId="77777777" w:rsidR="00353BD1" w:rsidRDefault="00353BD1">
      <w:pPr>
        <w:adjustRightInd w:val="0"/>
        <w:snapToGrid w:val="0"/>
        <w:spacing w:line="360" w:lineRule="auto"/>
        <w:rPr>
          <w:rFonts w:ascii="宋体" w:hAnsi="宋体" w:cs="Arial"/>
          <w:bCs/>
          <w:sz w:val="24"/>
        </w:rPr>
      </w:pPr>
    </w:p>
    <w:p w14:paraId="137C4A05" w14:textId="77777777" w:rsidR="00353BD1" w:rsidRDefault="00064D22">
      <w:pPr>
        <w:spacing w:line="360" w:lineRule="auto"/>
        <w:jc w:val="center"/>
        <w:rPr>
          <w:rFonts w:ascii="宋体" w:hAnsi="宋体"/>
          <w:b/>
          <w:bCs/>
          <w:sz w:val="30"/>
        </w:rPr>
      </w:pPr>
      <w:r>
        <w:rPr>
          <w:rFonts w:ascii="宋体" w:hAnsi="宋体" w:hint="eastAsia"/>
          <w:b/>
          <w:bCs/>
          <w:sz w:val="30"/>
        </w:rPr>
        <w:t>目    录</w:t>
      </w:r>
    </w:p>
    <w:p w14:paraId="2230634E" w14:textId="0FB89383" w:rsidR="00353BD1" w:rsidRDefault="00064D22">
      <w:pPr>
        <w:pStyle w:val="23"/>
        <w:tabs>
          <w:tab w:val="right" w:leader="dot" w:pos="8494"/>
        </w:tabs>
        <w:spacing w:line="360" w:lineRule="auto"/>
        <w:rPr>
          <w:rFonts w:ascii="宋体" w:hAnsi="宋体"/>
          <w:noProof/>
          <w:sz w:val="24"/>
        </w:rPr>
      </w:pPr>
      <w:r>
        <w:rPr>
          <w:rFonts w:ascii="宋体" w:hAnsi="宋体" w:hint="eastAsia"/>
          <w:sz w:val="28"/>
        </w:rPr>
        <w:fldChar w:fldCharType="begin"/>
      </w:r>
      <w:r>
        <w:rPr>
          <w:rFonts w:ascii="宋体" w:hAnsi="宋体" w:hint="eastAsia"/>
          <w:sz w:val="28"/>
        </w:rPr>
        <w:instrText xml:space="preserve"> TOC \o "1-2" \h \z </w:instrText>
      </w:r>
      <w:r>
        <w:rPr>
          <w:rFonts w:ascii="宋体" w:hAnsi="宋体" w:hint="eastAsia"/>
          <w:sz w:val="28"/>
        </w:rPr>
        <w:fldChar w:fldCharType="separate"/>
      </w:r>
      <w:hyperlink w:anchor="_Toc124325885" w:history="1">
        <w:r>
          <w:rPr>
            <w:rStyle w:val="af1"/>
            <w:rFonts w:ascii="宋体" w:hAnsi="宋体" w:hint="eastAsia"/>
            <w:noProof/>
            <w:sz w:val="24"/>
          </w:rPr>
          <w:t>一、基金托管协议当</w:t>
        </w:r>
        <w:bookmarkStart w:id="0" w:name="_Hlt498420681"/>
        <w:bookmarkStart w:id="1" w:name="_Hlt498420680"/>
        <w:r>
          <w:rPr>
            <w:rStyle w:val="af1"/>
            <w:rFonts w:ascii="宋体" w:hAnsi="宋体" w:hint="eastAsia"/>
            <w:noProof/>
            <w:sz w:val="24"/>
          </w:rPr>
          <w:t>事</w:t>
        </w:r>
        <w:bookmarkEnd w:id="0"/>
        <w:bookmarkEnd w:id="1"/>
        <w:r>
          <w:rPr>
            <w:rStyle w:val="af1"/>
            <w:rFonts w:ascii="宋体" w:hAnsi="宋体" w:hint="eastAsia"/>
            <w:noProof/>
            <w:sz w:val="24"/>
          </w:rPr>
          <w:t>人</w:t>
        </w:r>
        <w:r>
          <w:rPr>
            <w:rFonts w:ascii="宋体" w:hAnsi="宋体" w:hint="eastAsia"/>
            <w:noProof/>
            <w:sz w:val="24"/>
          </w:rPr>
          <w:tab/>
        </w:r>
        <w:r>
          <w:rPr>
            <w:rFonts w:ascii="宋体" w:hAnsi="宋体" w:hint="eastAsia"/>
            <w:noProof/>
            <w:sz w:val="24"/>
          </w:rPr>
          <w:fldChar w:fldCharType="begin"/>
        </w:r>
        <w:r>
          <w:rPr>
            <w:rFonts w:ascii="宋体" w:hAnsi="宋体" w:hint="eastAsia"/>
            <w:noProof/>
            <w:sz w:val="24"/>
          </w:rPr>
          <w:instrText xml:space="preserve"> PAGEREF _Toc124325885 \h </w:instrText>
        </w:r>
        <w:r>
          <w:rPr>
            <w:rFonts w:ascii="宋体" w:hAnsi="宋体" w:hint="eastAsia"/>
            <w:noProof/>
            <w:sz w:val="24"/>
          </w:rPr>
        </w:r>
        <w:r>
          <w:rPr>
            <w:rFonts w:ascii="宋体" w:hAnsi="宋体" w:hint="eastAsia"/>
            <w:noProof/>
            <w:sz w:val="24"/>
          </w:rPr>
          <w:fldChar w:fldCharType="separate"/>
        </w:r>
        <w:r w:rsidR="005E2BB4">
          <w:rPr>
            <w:rFonts w:ascii="宋体" w:hAnsi="宋体"/>
            <w:noProof/>
            <w:sz w:val="24"/>
          </w:rPr>
          <w:t>3</w:t>
        </w:r>
        <w:r>
          <w:rPr>
            <w:rFonts w:ascii="宋体" w:hAnsi="宋体" w:hint="eastAsia"/>
            <w:noProof/>
            <w:sz w:val="24"/>
          </w:rPr>
          <w:fldChar w:fldCharType="end"/>
        </w:r>
      </w:hyperlink>
    </w:p>
    <w:p w14:paraId="355E77BC" w14:textId="6C40F669" w:rsidR="00353BD1" w:rsidRDefault="00D50231">
      <w:pPr>
        <w:pStyle w:val="23"/>
        <w:tabs>
          <w:tab w:val="right" w:leader="dot" w:pos="8494"/>
        </w:tabs>
        <w:spacing w:line="360" w:lineRule="auto"/>
        <w:rPr>
          <w:rFonts w:ascii="宋体" w:hAnsi="宋体"/>
          <w:noProof/>
          <w:sz w:val="24"/>
        </w:rPr>
      </w:pPr>
      <w:hyperlink w:anchor="_Toc124325886" w:history="1">
        <w:r w:rsidR="00064D22">
          <w:rPr>
            <w:rStyle w:val="af1"/>
            <w:rFonts w:ascii="宋体" w:hAnsi="宋体" w:hint="eastAsia"/>
            <w:noProof/>
            <w:sz w:val="24"/>
          </w:rPr>
          <w:t>二、基金托管协议的依据、目的和原则</w:t>
        </w:r>
        <w:r w:rsidR="00064D22">
          <w:rPr>
            <w:rFonts w:ascii="宋体" w:hAnsi="宋体" w:hint="eastAsia"/>
            <w:noProof/>
            <w:sz w:val="24"/>
          </w:rPr>
          <w:tab/>
        </w:r>
        <w:r w:rsidR="00064D22">
          <w:rPr>
            <w:rFonts w:ascii="宋体" w:hAnsi="宋体" w:hint="eastAsia"/>
            <w:noProof/>
            <w:sz w:val="24"/>
          </w:rPr>
          <w:fldChar w:fldCharType="begin"/>
        </w:r>
        <w:r w:rsidR="00064D22">
          <w:rPr>
            <w:rFonts w:ascii="宋体" w:hAnsi="宋体" w:hint="eastAsia"/>
            <w:noProof/>
            <w:sz w:val="24"/>
          </w:rPr>
          <w:instrText xml:space="preserve"> PAGEREF _Toc124325886 \h </w:instrText>
        </w:r>
        <w:r w:rsidR="00064D22">
          <w:rPr>
            <w:rFonts w:ascii="宋体" w:hAnsi="宋体" w:hint="eastAsia"/>
            <w:noProof/>
            <w:sz w:val="24"/>
          </w:rPr>
        </w:r>
        <w:r w:rsidR="00064D22">
          <w:rPr>
            <w:rFonts w:ascii="宋体" w:hAnsi="宋体" w:hint="eastAsia"/>
            <w:noProof/>
            <w:sz w:val="24"/>
          </w:rPr>
          <w:fldChar w:fldCharType="separate"/>
        </w:r>
        <w:r w:rsidR="005E2BB4">
          <w:rPr>
            <w:rFonts w:ascii="宋体" w:hAnsi="宋体"/>
            <w:noProof/>
            <w:sz w:val="24"/>
          </w:rPr>
          <w:t>4</w:t>
        </w:r>
        <w:r w:rsidR="00064D22">
          <w:rPr>
            <w:rFonts w:ascii="宋体" w:hAnsi="宋体" w:hint="eastAsia"/>
            <w:noProof/>
            <w:sz w:val="24"/>
          </w:rPr>
          <w:fldChar w:fldCharType="end"/>
        </w:r>
      </w:hyperlink>
    </w:p>
    <w:p w14:paraId="04243D52" w14:textId="2C5B0CA1" w:rsidR="00353BD1" w:rsidRDefault="00D50231">
      <w:pPr>
        <w:pStyle w:val="23"/>
        <w:tabs>
          <w:tab w:val="right" w:leader="dot" w:pos="8494"/>
        </w:tabs>
        <w:spacing w:line="360" w:lineRule="auto"/>
        <w:rPr>
          <w:rFonts w:ascii="宋体" w:hAnsi="宋体"/>
          <w:noProof/>
          <w:sz w:val="24"/>
        </w:rPr>
      </w:pPr>
      <w:hyperlink w:anchor="_Toc124325887" w:history="1">
        <w:r w:rsidR="00064D22">
          <w:rPr>
            <w:rStyle w:val="af1"/>
            <w:rFonts w:ascii="宋体" w:hAnsi="宋体" w:hint="eastAsia"/>
            <w:noProof/>
            <w:sz w:val="24"/>
          </w:rPr>
          <w:t>三、基金托管人对基金管理人的业务监督和核查</w:t>
        </w:r>
        <w:r w:rsidR="00064D22">
          <w:rPr>
            <w:rFonts w:ascii="宋体" w:hAnsi="宋体" w:hint="eastAsia"/>
            <w:noProof/>
            <w:sz w:val="24"/>
          </w:rPr>
          <w:tab/>
        </w:r>
        <w:r w:rsidR="00064D22">
          <w:rPr>
            <w:rFonts w:ascii="宋体" w:hAnsi="宋体" w:hint="eastAsia"/>
            <w:noProof/>
            <w:sz w:val="24"/>
          </w:rPr>
          <w:fldChar w:fldCharType="begin"/>
        </w:r>
        <w:r w:rsidR="00064D22">
          <w:rPr>
            <w:rFonts w:ascii="宋体" w:hAnsi="宋体" w:hint="eastAsia"/>
            <w:noProof/>
            <w:sz w:val="24"/>
          </w:rPr>
          <w:instrText xml:space="preserve"> PAGEREF _Toc124325887 \h </w:instrText>
        </w:r>
        <w:r w:rsidR="00064D22">
          <w:rPr>
            <w:rFonts w:ascii="宋体" w:hAnsi="宋体" w:hint="eastAsia"/>
            <w:noProof/>
            <w:sz w:val="24"/>
          </w:rPr>
        </w:r>
        <w:r w:rsidR="00064D22">
          <w:rPr>
            <w:rFonts w:ascii="宋体" w:hAnsi="宋体" w:hint="eastAsia"/>
            <w:noProof/>
            <w:sz w:val="24"/>
          </w:rPr>
          <w:fldChar w:fldCharType="separate"/>
        </w:r>
        <w:r w:rsidR="005E2BB4">
          <w:rPr>
            <w:rFonts w:ascii="宋体" w:hAnsi="宋体"/>
            <w:noProof/>
            <w:sz w:val="24"/>
          </w:rPr>
          <w:t>5</w:t>
        </w:r>
        <w:r w:rsidR="00064D22">
          <w:rPr>
            <w:rFonts w:ascii="宋体" w:hAnsi="宋体" w:hint="eastAsia"/>
            <w:noProof/>
            <w:sz w:val="24"/>
          </w:rPr>
          <w:fldChar w:fldCharType="end"/>
        </w:r>
      </w:hyperlink>
    </w:p>
    <w:p w14:paraId="7D5113FB" w14:textId="6C6EE238" w:rsidR="00353BD1" w:rsidRDefault="00D50231">
      <w:pPr>
        <w:pStyle w:val="23"/>
        <w:tabs>
          <w:tab w:val="right" w:leader="dot" w:pos="8494"/>
        </w:tabs>
        <w:spacing w:line="360" w:lineRule="auto"/>
        <w:rPr>
          <w:rFonts w:ascii="宋体" w:hAnsi="宋体"/>
          <w:noProof/>
          <w:sz w:val="24"/>
        </w:rPr>
      </w:pPr>
      <w:hyperlink w:anchor="_Toc124325888" w:history="1">
        <w:r w:rsidR="00064D22">
          <w:rPr>
            <w:rStyle w:val="af1"/>
            <w:rFonts w:ascii="宋体" w:hAnsi="宋体" w:hint="eastAsia"/>
            <w:noProof/>
            <w:sz w:val="24"/>
          </w:rPr>
          <w:t>四、基金管理人对基金托管人的业务核查</w:t>
        </w:r>
        <w:r w:rsidR="00064D22">
          <w:rPr>
            <w:rFonts w:ascii="宋体" w:hAnsi="宋体" w:hint="eastAsia"/>
            <w:noProof/>
            <w:sz w:val="24"/>
          </w:rPr>
          <w:tab/>
        </w:r>
        <w:r w:rsidR="00064D22">
          <w:rPr>
            <w:rFonts w:ascii="宋体" w:hAnsi="宋体" w:hint="eastAsia"/>
            <w:noProof/>
            <w:sz w:val="24"/>
          </w:rPr>
          <w:fldChar w:fldCharType="begin"/>
        </w:r>
        <w:r w:rsidR="00064D22">
          <w:rPr>
            <w:rFonts w:ascii="宋体" w:hAnsi="宋体" w:hint="eastAsia"/>
            <w:noProof/>
            <w:sz w:val="24"/>
          </w:rPr>
          <w:instrText xml:space="preserve"> PAGEREF _Toc124325888 \h </w:instrText>
        </w:r>
        <w:r w:rsidR="00064D22">
          <w:rPr>
            <w:rFonts w:ascii="宋体" w:hAnsi="宋体" w:hint="eastAsia"/>
            <w:noProof/>
            <w:sz w:val="24"/>
          </w:rPr>
        </w:r>
        <w:r w:rsidR="00064D22">
          <w:rPr>
            <w:rFonts w:ascii="宋体" w:hAnsi="宋体" w:hint="eastAsia"/>
            <w:noProof/>
            <w:sz w:val="24"/>
          </w:rPr>
          <w:fldChar w:fldCharType="separate"/>
        </w:r>
        <w:r w:rsidR="005E2BB4">
          <w:rPr>
            <w:rFonts w:ascii="宋体" w:hAnsi="宋体"/>
            <w:noProof/>
            <w:sz w:val="24"/>
          </w:rPr>
          <w:t>11</w:t>
        </w:r>
        <w:r w:rsidR="00064D22">
          <w:rPr>
            <w:rFonts w:ascii="宋体" w:hAnsi="宋体" w:hint="eastAsia"/>
            <w:noProof/>
            <w:sz w:val="24"/>
          </w:rPr>
          <w:fldChar w:fldCharType="end"/>
        </w:r>
      </w:hyperlink>
    </w:p>
    <w:p w14:paraId="2A786FEF" w14:textId="5FD5789A" w:rsidR="00353BD1" w:rsidRDefault="00D50231">
      <w:pPr>
        <w:pStyle w:val="23"/>
        <w:tabs>
          <w:tab w:val="right" w:leader="dot" w:pos="8494"/>
        </w:tabs>
        <w:spacing w:line="360" w:lineRule="auto"/>
        <w:rPr>
          <w:rFonts w:ascii="宋体" w:hAnsi="宋体"/>
          <w:noProof/>
          <w:sz w:val="24"/>
        </w:rPr>
      </w:pPr>
      <w:hyperlink w:anchor="_Toc124325889" w:history="1">
        <w:r w:rsidR="00064D22">
          <w:rPr>
            <w:rStyle w:val="af1"/>
            <w:rFonts w:ascii="宋体" w:hAnsi="宋体" w:hint="eastAsia"/>
            <w:noProof/>
            <w:sz w:val="24"/>
          </w:rPr>
          <w:t>五、基金财产的保管</w:t>
        </w:r>
        <w:bookmarkStart w:id="2" w:name="_Hlt130398333"/>
        <w:bookmarkStart w:id="3" w:name="_Hlt130398332"/>
        <w:bookmarkStart w:id="4" w:name="_GoBack"/>
        <w:bookmarkEnd w:id="4"/>
        <w:r w:rsidR="00064D22">
          <w:rPr>
            <w:rFonts w:ascii="宋体" w:hAnsi="宋体" w:hint="eastAsia"/>
            <w:noProof/>
            <w:sz w:val="24"/>
          </w:rPr>
          <w:tab/>
        </w:r>
        <w:bookmarkEnd w:id="2"/>
        <w:bookmarkEnd w:id="3"/>
        <w:r w:rsidR="00064D22">
          <w:rPr>
            <w:rFonts w:ascii="宋体" w:hAnsi="宋体" w:hint="eastAsia"/>
            <w:noProof/>
            <w:sz w:val="24"/>
          </w:rPr>
          <w:fldChar w:fldCharType="begin"/>
        </w:r>
        <w:r w:rsidR="00064D22">
          <w:rPr>
            <w:rFonts w:ascii="宋体" w:hAnsi="宋体" w:hint="eastAsia"/>
            <w:noProof/>
            <w:sz w:val="24"/>
          </w:rPr>
          <w:instrText xml:space="preserve"> PAGEREF _Toc124325889 \h </w:instrText>
        </w:r>
        <w:r w:rsidR="00064D22">
          <w:rPr>
            <w:rFonts w:ascii="宋体" w:hAnsi="宋体" w:hint="eastAsia"/>
            <w:noProof/>
            <w:sz w:val="24"/>
          </w:rPr>
        </w:r>
        <w:r w:rsidR="00064D22">
          <w:rPr>
            <w:rFonts w:ascii="宋体" w:hAnsi="宋体" w:hint="eastAsia"/>
            <w:noProof/>
            <w:sz w:val="24"/>
          </w:rPr>
          <w:fldChar w:fldCharType="separate"/>
        </w:r>
        <w:r w:rsidR="005E2BB4">
          <w:rPr>
            <w:rFonts w:ascii="宋体" w:hAnsi="宋体"/>
            <w:noProof/>
            <w:sz w:val="24"/>
          </w:rPr>
          <w:t>12</w:t>
        </w:r>
        <w:r w:rsidR="00064D22">
          <w:rPr>
            <w:rFonts w:ascii="宋体" w:hAnsi="宋体" w:hint="eastAsia"/>
            <w:noProof/>
            <w:sz w:val="24"/>
          </w:rPr>
          <w:fldChar w:fldCharType="end"/>
        </w:r>
      </w:hyperlink>
    </w:p>
    <w:p w14:paraId="696ADF17" w14:textId="68845ADF" w:rsidR="00353BD1" w:rsidRDefault="00D50231">
      <w:pPr>
        <w:pStyle w:val="23"/>
        <w:tabs>
          <w:tab w:val="right" w:leader="dot" w:pos="8494"/>
        </w:tabs>
        <w:spacing w:line="360" w:lineRule="auto"/>
        <w:rPr>
          <w:rFonts w:ascii="宋体" w:hAnsi="宋体"/>
          <w:noProof/>
          <w:sz w:val="24"/>
        </w:rPr>
      </w:pPr>
      <w:hyperlink w:anchor="_Toc124325890" w:history="1">
        <w:r w:rsidR="00064D22">
          <w:rPr>
            <w:rStyle w:val="af1"/>
            <w:rFonts w:ascii="宋体" w:hAnsi="宋体" w:hint="eastAsia"/>
            <w:noProof/>
            <w:sz w:val="24"/>
          </w:rPr>
          <w:t>六、指令的发送、确认及执行</w:t>
        </w:r>
        <w:r w:rsidR="00064D22">
          <w:rPr>
            <w:rFonts w:ascii="宋体" w:hAnsi="宋体" w:hint="eastAsia"/>
            <w:noProof/>
            <w:sz w:val="24"/>
          </w:rPr>
          <w:tab/>
        </w:r>
        <w:r w:rsidR="00064D22">
          <w:rPr>
            <w:rFonts w:ascii="宋体" w:hAnsi="宋体" w:hint="eastAsia"/>
            <w:noProof/>
            <w:sz w:val="24"/>
          </w:rPr>
          <w:fldChar w:fldCharType="begin"/>
        </w:r>
        <w:r w:rsidR="00064D22">
          <w:rPr>
            <w:rFonts w:ascii="宋体" w:hAnsi="宋体" w:hint="eastAsia"/>
            <w:noProof/>
            <w:sz w:val="24"/>
          </w:rPr>
          <w:instrText xml:space="preserve"> PAGEREF _Toc124325890 \h </w:instrText>
        </w:r>
        <w:r w:rsidR="00064D22">
          <w:rPr>
            <w:rFonts w:ascii="宋体" w:hAnsi="宋体" w:hint="eastAsia"/>
            <w:noProof/>
            <w:sz w:val="24"/>
          </w:rPr>
        </w:r>
        <w:r w:rsidR="00064D22">
          <w:rPr>
            <w:rFonts w:ascii="宋体" w:hAnsi="宋体" w:hint="eastAsia"/>
            <w:noProof/>
            <w:sz w:val="24"/>
          </w:rPr>
          <w:fldChar w:fldCharType="separate"/>
        </w:r>
        <w:r w:rsidR="005E2BB4">
          <w:rPr>
            <w:rFonts w:ascii="宋体" w:hAnsi="宋体"/>
            <w:noProof/>
            <w:sz w:val="24"/>
          </w:rPr>
          <w:t>15</w:t>
        </w:r>
        <w:r w:rsidR="00064D22">
          <w:rPr>
            <w:rFonts w:ascii="宋体" w:hAnsi="宋体" w:hint="eastAsia"/>
            <w:noProof/>
            <w:sz w:val="24"/>
          </w:rPr>
          <w:fldChar w:fldCharType="end"/>
        </w:r>
      </w:hyperlink>
    </w:p>
    <w:p w14:paraId="43FD6932" w14:textId="797379DC" w:rsidR="00353BD1" w:rsidRDefault="00D50231">
      <w:pPr>
        <w:pStyle w:val="23"/>
        <w:tabs>
          <w:tab w:val="right" w:leader="dot" w:pos="8494"/>
        </w:tabs>
        <w:spacing w:line="360" w:lineRule="auto"/>
        <w:rPr>
          <w:rFonts w:ascii="宋体" w:hAnsi="宋体"/>
          <w:noProof/>
          <w:sz w:val="24"/>
        </w:rPr>
      </w:pPr>
      <w:hyperlink w:anchor="_Toc124325891" w:history="1">
        <w:r w:rsidR="00064D22">
          <w:rPr>
            <w:rStyle w:val="af1"/>
            <w:rFonts w:ascii="宋体" w:hAnsi="宋体" w:hint="eastAsia"/>
            <w:noProof/>
            <w:sz w:val="24"/>
          </w:rPr>
          <w:t>七、交易及清算</w:t>
        </w:r>
        <w:bookmarkStart w:id="5" w:name="_Hlt497143548"/>
        <w:bookmarkStart w:id="6" w:name="_Hlt497143549"/>
        <w:r w:rsidR="00064D22">
          <w:rPr>
            <w:rStyle w:val="af1"/>
            <w:rFonts w:ascii="宋体" w:hAnsi="宋体" w:hint="eastAsia"/>
            <w:noProof/>
            <w:sz w:val="24"/>
          </w:rPr>
          <w:t>交</w:t>
        </w:r>
        <w:bookmarkEnd w:id="5"/>
        <w:bookmarkEnd w:id="6"/>
        <w:r w:rsidR="00064D22">
          <w:rPr>
            <w:rStyle w:val="af1"/>
            <w:rFonts w:ascii="宋体" w:hAnsi="宋体" w:hint="eastAsia"/>
            <w:noProof/>
            <w:sz w:val="24"/>
          </w:rPr>
          <w:t>收安</w:t>
        </w:r>
        <w:bookmarkStart w:id="7" w:name="_Hlt419449173"/>
        <w:r w:rsidR="00064D22">
          <w:rPr>
            <w:rStyle w:val="af1"/>
            <w:rFonts w:ascii="宋体" w:hAnsi="宋体" w:hint="eastAsia"/>
            <w:noProof/>
            <w:sz w:val="24"/>
          </w:rPr>
          <w:t>排</w:t>
        </w:r>
        <w:bookmarkEnd w:id="7"/>
        <w:r w:rsidR="00064D22">
          <w:rPr>
            <w:rFonts w:ascii="宋体" w:hAnsi="宋体" w:hint="eastAsia"/>
            <w:noProof/>
            <w:sz w:val="24"/>
          </w:rPr>
          <w:tab/>
        </w:r>
        <w:r w:rsidR="00064D22">
          <w:rPr>
            <w:rFonts w:ascii="宋体" w:hAnsi="宋体" w:hint="eastAsia"/>
            <w:noProof/>
            <w:sz w:val="24"/>
          </w:rPr>
          <w:fldChar w:fldCharType="begin"/>
        </w:r>
        <w:r w:rsidR="00064D22">
          <w:rPr>
            <w:rFonts w:ascii="宋体" w:hAnsi="宋体" w:hint="eastAsia"/>
            <w:noProof/>
            <w:sz w:val="24"/>
          </w:rPr>
          <w:instrText xml:space="preserve"> PAGEREF _Toc124325891 \h </w:instrText>
        </w:r>
        <w:r w:rsidR="00064D22">
          <w:rPr>
            <w:rFonts w:ascii="宋体" w:hAnsi="宋体" w:hint="eastAsia"/>
            <w:noProof/>
            <w:sz w:val="24"/>
          </w:rPr>
        </w:r>
        <w:r w:rsidR="00064D22">
          <w:rPr>
            <w:rFonts w:ascii="宋体" w:hAnsi="宋体" w:hint="eastAsia"/>
            <w:noProof/>
            <w:sz w:val="24"/>
          </w:rPr>
          <w:fldChar w:fldCharType="separate"/>
        </w:r>
        <w:r w:rsidR="005E2BB4">
          <w:rPr>
            <w:rFonts w:ascii="宋体" w:hAnsi="宋体"/>
            <w:noProof/>
            <w:sz w:val="24"/>
          </w:rPr>
          <w:t>18</w:t>
        </w:r>
        <w:r w:rsidR="00064D22">
          <w:rPr>
            <w:rFonts w:ascii="宋体" w:hAnsi="宋体" w:hint="eastAsia"/>
            <w:noProof/>
            <w:sz w:val="24"/>
          </w:rPr>
          <w:fldChar w:fldCharType="end"/>
        </w:r>
      </w:hyperlink>
    </w:p>
    <w:p w14:paraId="6BB975F5" w14:textId="363AB701" w:rsidR="00353BD1" w:rsidRDefault="00D50231">
      <w:pPr>
        <w:pStyle w:val="23"/>
        <w:tabs>
          <w:tab w:val="right" w:leader="dot" w:pos="8494"/>
        </w:tabs>
        <w:spacing w:line="360" w:lineRule="auto"/>
        <w:rPr>
          <w:rFonts w:ascii="宋体" w:hAnsi="宋体"/>
          <w:noProof/>
          <w:sz w:val="24"/>
        </w:rPr>
      </w:pPr>
      <w:hyperlink w:anchor="_Toc124325892" w:history="1">
        <w:r w:rsidR="00064D22">
          <w:rPr>
            <w:rStyle w:val="af1"/>
            <w:rFonts w:ascii="宋体" w:hAnsi="宋体" w:hint="eastAsia"/>
            <w:noProof/>
            <w:sz w:val="24"/>
          </w:rPr>
          <w:t>八、基金资产净值</w:t>
        </w:r>
        <w:bookmarkStart w:id="8" w:name="_Hlt419449178"/>
        <w:r w:rsidR="00064D22">
          <w:rPr>
            <w:rStyle w:val="af1"/>
            <w:rFonts w:ascii="宋体" w:hAnsi="宋体" w:hint="eastAsia"/>
            <w:noProof/>
            <w:sz w:val="24"/>
          </w:rPr>
          <w:t>计</w:t>
        </w:r>
        <w:bookmarkEnd w:id="8"/>
        <w:r w:rsidR="00064D22">
          <w:rPr>
            <w:rStyle w:val="af1"/>
            <w:rFonts w:ascii="宋体" w:hAnsi="宋体" w:hint="eastAsia"/>
            <w:noProof/>
            <w:sz w:val="24"/>
          </w:rPr>
          <w:t>算和会计核算</w:t>
        </w:r>
        <w:r w:rsidR="00064D22">
          <w:rPr>
            <w:rFonts w:ascii="宋体" w:hAnsi="宋体" w:hint="eastAsia"/>
            <w:noProof/>
            <w:sz w:val="24"/>
          </w:rPr>
          <w:tab/>
        </w:r>
        <w:r w:rsidR="00064D22">
          <w:rPr>
            <w:rFonts w:ascii="宋体" w:hAnsi="宋体" w:hint="eastAsia"/>
            <w:noProof/>
            <w:sz w:val="24"/>
          </w:rPr>
          <w:fldChar w:fldCharType="begin"/>
        </w:r>
        <w:r w:rsidR="00064D22">
          <w:rPr>
            <w:rFonts w:ascii="宋体" w:hAnsi="宋体" w:hint="eastAsia"/>
            <w:noProof/>
            <w:sz w:val="24"/>
          </w:rPr>
          <w:instrText xml:space="preserve"> PAGEREF _Toc124325892 \h </w:instrText>
        </w:r>
        <w:r w:rsidR="00064D22">
          <w:rPr>
            <w:rFonts w:ascii="宋体" w:hAnsi="宋体" w:hint="eastAsia"/>
            <w:noProof/>
            <w:sz w:val="24"/>
          </w:rPr>
        </w:r>
        <w:r w:rsidR="00064D22">
          <w:rPr>
            <w:rFonts w:ascii="宋体" w:hAnsi="宋体" w:hint="eastAsia"/>
            <w:noProof/>
            <w:sz w:val="24"/>
          </w:rPr>
          <w:fldChar w:fldCharType="separate"/>
        </w:r>
        <w:r w:rsidR="005E2BB4">
          <w:rPr>
            <w:rFonts w:ascii="宋体" w:hAnsi="宋体"/>
            <w:noProof/>
            <w:sz w:val="24"/>
          </w:rPr>
          <w:t>24</w:t>
        </w:r>
        <w:r w:rsidR="00064D22">
          <w:rPr>
            <w:rFonts w:ascii="宋体" w:hAnsi="宋体" w:hint="eastAsia"/>
            <w:noProof/>
            <w:sz w:val="24"/>
          </w:rPr>
          <w:fldChar w:fldCharType="end"/>
        </w:r>
      </w:hyperlink>
    </w:p>
    <w:p w14:paraId="44EF2D31" w14:textId="263DB3BA" w:rsidR="00353BD1" w:rsidRDefault="00D50231">
      <w:pPr>
        <w:pStyle w:val="23"/>
        <w:tabs>
          <w:tab w:val="right" w:leader="dot" w:pos="8494"/>
        </w:tabs>
        <w:spacing w:line="360" w:lineRule="auto"/>
        <w:rPr>
          <w:rFonts w:ascii="宋体" w:hAnsi="宋体"/>
          <w:noProof/>
          <w:sz w:val="24"/>
        </w:rPr>
      </w:pPr>
      <w:hyperlink w:anchor="_Toc124325893" w:history="1">
        <w:r w:rsidR="00064D22">
          <w:rPr>
            <w:rStyle w:val="af1"/>
            <w:rFonts w:ascii="宋体" w:hAnsi="宋体" w:hint="eastAsia"/>
            <w:noProof/>
            <w:sz w:val="24"/>
          </w:rPr>
          <w:t>九、基金收益分配</w:t>
        </w:r>
        <w:r w:rsidR="00064D22">
          <w:rPr>
            <w:rFonts w:ascii="宋体" w:hAnsi="宋体" w:hint="eastAsia"/>
            <w:noProof/>
            <w:sz w:val="24"/>
          </w:rPr>
          <w:tab/>
        </w:r>
        <w:r w:rsidR="00064D22">
          <w:rPr>
            <w:rFonts w:ascii="宋体" w:hAnsi="宋体" w:hint="eastAsia"/>
            <w:noProof/>
            <w:sz w:val="24"/>
          </w:rPr>
          <w:fldChar w:fldCharType="begin"/>
        </w:r>
        <w:r w:rsidR="00064D22">
          <w:rPr>
            <w:rFonts w:ascii="宋体" w:hAnsi="宋体" w:hint="eastAsia"/>
            <w:noProof/>
            <w:sz w:val="24"/>
          </w:rPr>
          <w:instrText xml:space="preserve"> PAGEREF _Toc124325893 \h </w:instrText>
        </w:r>
        <w:r w:rsidR="00064D22">
          <w:rPr>
            <w:rFonts w:ascii="宋体" w:hAnsi="宋体" w:hint="eastAsia"/>
            <w:noProof/>
            <w:sz w:val="24"/>
          </w:rPr>
        </w:r>
        <w:r w:rsidR="00064D22">
          <w:rPr>
            <w:rFonts w:ascii="宋体" w:hAnsi="宋体" w:hint="eastAsia"/>
            <w:noProof/>
            <w:sz w:val="24"/>
          </w:rPr>
          <w:fldChar w:fldCharType="separate"/>
        </w:r>
        <w:r w:rsidR="005E2BB4">
          <w:rPr>
            <w:rFonts w:ascii="宋体" w:hAnsi="宋体"/>
            <w:noProof/>
            <w:sz w:val="24"/>
          </w:rPr>
          <w:t>30</w:t>
        </w:r>
        <w:r w:rsidR="00064D22">
          <w:rPr>
            <w:rFonts w:ascii="宋体" w:hAnsi="宋体" w:hint="eastAsia"/>
            <w:noProof/>
            <w:sz w:val="24"/>
          </w:rPr>
          <w:fldChar w:fldCharType="end"/>
        </w:r>
      </w:hyperlink>
    </w:p>
    <w:p w14:paraId="26A58DF0" w14:textId="29CDBA6D" w:rsidR="00353BD1" w:rsidRDefault="00D50231">
      <w:pPr>
        <w:pStyle w:val="23"/>
        <w:tabs>
          <w:tab w:val="right" w:leader="dot" w:pos="8494"/>
        </w:tabs>
        <w:spacing w:line="360" w:lineRule="auto"/>
        <w:rPr>
          <w:rFonts w:ascii="宋体" w:hAnsi="宋体"/>
          <w:noProof/>
          <w:sz w:val="24"/>
        </w:rPr>
      </w:pPr>
      <w:hyperlink w:anchor="_Toc124325894" w:history="1">
        <w:r w:rsidR="00064D22">
          <w:rPr>
            <w:rStyle w:val="af1"/>
            <w:rFonts w:ascii="宋体" w:hAnsi="宋体" w:hint="eastAsia"/>
            <w:noProof/>
            <w:sz w:val="24"/>
          </w:rPr>
          <w:t>十、基金信息披露</w:t>
        </w:r>
        <w:r w:rsidR="00064D22">
          <w:rPr>
            <w:rFonts w:ascii="宋体" w:hAnsi="宋体" w:hint="eastAsia"/>
            <w:noProof/>
            <w:sz w:val="24"/>
          </w:rPr>
          <w:tab/>
        </w:r>
        <w:r w:rsidR="00064D22">
          <w:rPr>
            <w:rFonts w:ascii="宋体" w:hAnsi="宋体" w:hint="eastAsia"/>
            <w:noProof/>
            <w:sz w:val="24"/>
          </w:rPr>
          <w:fldChar w:fldCharType="begin"/>
        </w:r>
        <w:r w:rsidR="00064D22">
          <w:rPr>
            <w:rFonts w:ascii="宋体" w:hAnsi="宋体" w:hint="eastAsia"/>
            <w:noProof/>
            <w:sz w:val="24"/>
          </w:rPr>
          <w:instrText xml:space="preserve"> PAGEREF _Toc124325894 \h </w:instrText>
        </w:r>
        <w:r w:rsidR="00064D22">
          <w:rPr>
            <w:rFonts w:ascii="宋体" w:hAnsi="宋体" w:hint="eastAsia"/>
            <w:noProof/>
            <w:sz w:val="24"/>
          </w:rPr>
        </w:r>
        <w:r w:rsidR="00064D22">
          <w:rPr>
            <w:rFonts w:ascii="宋体" w:hAnsi="宋体" w:hint="eastAsia"/>
            <w:noProof/>
            <w:sz w:val="24"/>
          </w:rPr>
          <w:fldChar w:fldCharType="separate"/>
        </w:r>
        <w:r w:rsidR="005E2BB4">
          <w:rPr>
            <w:rFonts w:ascii="宋体" w:hAnsi="宋体"/>
            <w:noProof/>
            <w:sz w:val="24"/>
          </w:rPr>
          <w:t>31</w:t>
        </w:r>
        <w:r w:rsidR="00064D22">
          <w:rPr>
            <w:rFonts w:ascii="宋体" w:hAnsi="宋体" w:hint="eastAsia"/>
            <w:noProof/>
            <w:sz w:val="24"/>
          </w:rPr>
          <w:fldChar w:fldCharType="end"/>
        </w:r>
      </w:hyperlink>
    </w:p>
    <w:p w14:paraId="3843018F" w14:textId="2CA6EF4F" w:rsidR="00353BD1" w:rsidRDefault="00D50231">
      <w:pPr>
        <w:pStyle w:val="23"/>
        <w:tabs>
          <w:tab w:val="right" w:leader="dot" w:pos="8494"/>
        </w:tabs>
        <w:spacing w:line="360" w:lineRule="auto"/>
        <w:rPr>
          <w:rFonts w:ascii="宋体" w:hAnsi="宋体"/>
          <w:noProof/>
          <w:sz w:val="24"/>
        </w:rPr>
      </w:pPr>
      <w:hyperlink w:anchor="_Toc124325895" w:history="1">
        <w:r w:rsidR="00064D22">
          <w:rPr>
            <w:rStyle w:val="af1"/>
            <w:rFonts w:ascii="宋体" w:hAnsi="宋体" w:hint="eastAsia"/>
            <w:noProof/>
            <w:sz w:val="24"/>
          </w:rPr>
          <w:t>十一、基金费用</w:t>
        </w:r>
        <w:r w:rsidR="00064D22">
          <w:rPr>
            <w:rFonts w:ascii="宋体" w:hAnsi="宋体" w:hint="eastAsia"/>
            <w:noProof/>
            <w:sz w:val="24"/>
          </w:rPr>
          <w:tab/>
        </w:r>
        <w:r w:rsidR="00064D22">
          <w:rPr>
            <w:rFonts w:ascii="宋体" w:hAnsi="宋体" w:hint="eastAsia"/>
            <w:noProof/>
            <w:sz w:val="24"/>
          </w:rPr>
          <w:fldChar w:fldCharType="begin"/>
        </w:r>
        <w:r w:rsidR="00064D22">
          <w:rPr>
            <w:rFonts w:ascii="宋体" w:hAnsi="宋体" w:hint="eastAsia"/>
            <w:noProof/>
            <w:sz w:val="24"/>
          </w:rPr>
          <w:instrText xml:space="preserve"> PAGEREF _Toc124325895 \h </w:instrText>
        </w:r>
        <w:r w:rsidR="00064D22">
          <w:rPr>
            <w:rFonts w:ascii="宋体" w:hAnsi="宋体" w:hint="eastAsia"/>
            <w:noProof/>
            <w:sz w:val="24"/>
          </w:rPr>
        </w:r>
        <w:r w:rsidR="00064D22">
          <w:rPr>
            <w:rFonts w:ascii="宋体" w:hAnsi="宋体" w:hint="eastAsia"/>
            <w:noProof/>
            <w:sz w:val="24"/>
          </w:rPr>
          <w:fldChar w:fldCharType="separate"/>
        </w:r>
        <w:r w:rsidR="005E2BB4">
          <w:rPr>
            <w:rFonts w:ascii="宋体" w:hAnsi="宋体"/>
            <w:noProof/>
            <w:sz w:val="24"/>
          </w:rPr>
          <w:t>33</w:t>
        </w:r>
        <w:r w:rsidR="00064D22">
          <w:rPr>
            <w:rFonts w:ascii="宋体" w:hAnsi="宋体" w:hint="eastAsia"/>
            <w:noProof/>
            <w:sz w:val="24"/>
          </w:rPr>
          <w:fldChar w:fldCharType="end"/>
        </w:r>
      </w:hyperlink>
    </w:p>
    <w:p w14:paraId="7D9FAED3" w14:textId="32A478AA" w:rsidR="00353BD1" w:rsidRDefault="00D50231">
      <w:pPr>
        <w:pStyle w:val="23"/>
        <w:tabs>
          <w:tab w:val="right" w:leader="dot" w:pos="8494"/>
        </w:tabs>
        <w:spacing w:line="360" w:lineRule="auto"/>
        <w:rPr>
          <w:rFonts w:ascii="宋体" w:hAnsi="宋体"/>
          <w:noProof/>
          <w:sz w:val="24"/>
        </w:rPr>
      </w:pPr>
      <w:hyperlink w:anchor="_Toc124325896" w:history="1">
        <w:r w:rsidR="00064D22">
          <w:rPr>
            <w:rStyle w:val="af1"/>
            <w:rFonts w:ascii="宋体" w:hAnsi="宋体" w:hint="eastAsia"/>
            <w:noProof/>
            <w:sz w:val="24"/>
          </w:rPr>
          <w:t>十二、基金份额持有人名册的保管</w:t>
        </w:r>
        <w:r w:rsidR="00064D22">
          <w:rPr>
            <w:rFonts w:ascii="宋体" w:hAnsi="宋体" w:hint="eastAsia"/>
            <w:noProof/>
            <w:sz w:val="24"/>
          </w:rPr>
          <w:tab/>
        </w:r>
        <w:r w:rsidR="00064D22">
          <w:rPr>
            <w:rFonts w:ascii="宋体" w:hAnsi="宋体" w:hint="eastAsia"/>
            <w:noProof/>
            <w:sz w:val="24"/>
          </w:rPr>
          <w:fldChar w:fldCharType="begin"/>
        </w:r>
        <w:r w:rsidR="00064D22">
          <w:rPr>
            <w:rFonts w:ascii="宋体" w:hAnsi="宋体" w:hint="eastAsia"/>
            <w:noProof/>
            <w:sz w:val="24"/>
          </w:rPr>
          <w:instrText xml:space="preserve"> PAGEREF _Toc124325896 \h </w:instrText>
        </w:r>
        <w:r w:rsidR="00064D22">
          <w:rPr>
            <w:rFonts w:ascii="宋体" w:hAnsi="宋体" w:hint="eastAsia"/>
            <w:noProof/>
            <w:sz w:val="24"/>
          </w:rPr>
        </w:r>
        <w:r w:rsidR="00064D22">
          <w:rPr>
            <w:rFonts w:ascii="宋体" w:hAnsi="宋体" w:hint="eastAsia"/>
            <w:noProof/>
            <w:sz w:val="24"/>
          </w:rPr>
          <w:fldChar w:fldCharType="separate"/>
        </w:r>
        <w:r w:rsidR="005E2BB4">
          <w:rPr>
            <w:rFonts w:ascii="宋体" w:hAnsi="宋体"/>
            <w:noProof/>
            <w:sz w:val="24"/>
          </w:rPr>
          <w:t>36</w:t>
        </w:r>
        <w:r w:rsidR="00064D22">
          <w:rPr>
            <w:rFonts w:ascii="宋体" w:hAnsi="宋体" w:hint="eastAsia"/>
            <w:noProof/>
            <w:sz w:val="24"/>
          </w:rPr>
          <w:fldChar w:fldCharType="end"/>
        </w:r>
      </w:hyperlink>
    </w:p>
    <w:p w14:paraId="7202D9B9" w14:textId="7D304C35" w:rsidR="00353BD1" w:rsidRDefault="00D50231">
      <w:pPr>
        <w:pStyle w:val="23"/>
        <w:tabs>
          <w:tab w:val="right" w:leader="dot" w:pos="8494"/>
        </w:tabs>
        <w:spacing w:line="360" w:lineRule="auto"/>
        <w:rPr>
          <w:rFonts w:ascii="宋体" w:hAnsi="宋体"/>
          <w:noProof/>
          <w:sz w:val="24"/>
        </w:rPr>
      </w:pPr>
      <w:hyperlink w:anchor="_Toc124325897" w:history="1">
        <w:r w:rsidR="00064D22">
          <w:rPr>
            <w:rStyle w:val="af1"/>
            <w:rFonts w:ascii="宋体" w:hAnsi="宋体" w:hint="eastAsia"/>
            <w:noProof/>
            <w:sz w:val="24"/>
          </w:rPr>
          <w:t>十三、基金有关文件档案的保存</w:t>
        </w:r>
        <w:r w:rsidR="00064D22">
          <w:rPr>
            <w:rFonts w:ascii="宋体" w:hAnsi="宋体" w:hint="eastAsia"/>
            <w:noProof/>
            <w:sz w:val="24"/>
          </w:rPr>
          <w:tab/>
        </w:r>
        <w:r w:rsidR="00064D22">
          <w:rPr>
            <w:rFonts w:ascii="宋体" w:hAnsi="宋体" w:hint="eastAsia"/>
            <w:noProof/>
            <w:sz w:val="24"/>
          </w:rPr>
          <w:fldChar w:fldCharType="begin"/>
        </w:r>
        <w:r w:rsidR="00064D22">
          <w:rPr>
            <w:rFonts w:ascii="宋体" w:hAnsi="宋体" w:hint="eastAsia"/>
            <w:noProof/>
            <w:sz w:val="24"/>
          </w:rPr>
          <w:instrText xml:space="preserve"> PAGEREF _Toc124325897 \h </w:instrText>
        </w:r>
        <w:r w:rsidR="00064D22">
          <w:rPr>
            <w:rFonts w:ascii="宋体" w:hAnsi="宋体" w:hint="eastAsia"/>
            <w:noProof/>
            <w:sz w:val="24"/>
          </w:rPr>
        </w:r>
        <w:r w:rsidR="00064D22">
          <w:rPr>
            <w:rFonts w:ascii="宋体" w:hAnsi="宋体" w:hint="eastAsia"/>
            <w:noProof/>
            <w:sz w:val="24"/>
          </w:rPr>
          <w:fldChar w:fldCharType="separate"/>
        </w:r>
        <w:r w:rsidR="005E2BB4">
          <w:rPr>
            <w:rFonts w:ascii="宋体" w:hAnsi="宋体"/>
            <w:noProof/>
            <w:sz w:val="24"/>
          </w:rPr>
          <w:t>36</w:t>
        </w:r>
        <w:r w:rsidR="00064D22">
          <w:rPr>
            <w:rFonts w:ascii="宋体" w:hAnsi="宋体" w:hint="eastAsia"/>
            <w:noProof/>
            <w:sz w:val="24"/>
          </w:rPr>
          <w:fldChar w:fldCharType="end"/>
        </w:r>
      </w:hyperlink>
    </w:p>
    <w:p w14:paraId="72677ED2" w14:textId="2B2F0585" w:rsidR="00353BD1" w:rsidRDefault="00D50231">
      <w:pPr>
        <w:pStyle w:val="23"/>
        <w:tabs>
          <w:tab w:val="right" w:leader="dot" w:pos="8494"/>
        </w:tabs>
        <w:spacing w:line="360" w:lineRule="auto"/>
        <w:rPr>
          <w:rFonts w:ascii="宋体" w:hAnsi="宋体"/>
          <w:noProof/>
          <w:sz w:val="24"/>
        </w:rPr>
      </w:pPr>
      <w:hyperlink w:anchor="_Toc124325898" w:history="1">
        <w:r w:rsidR="00064D22">
          <w:rPr>
            <w:rStyle w:val="af1"/>
            <w:rFonts w:ascii="宋体" w:hAnsi="宋体" w:hint="eastAsia"/>
            <w:noProof/>
            <w:sz w:val="24"/>
          </w:rPr>
          <w:t>十四、基金管理人和基金托管人的更换</w:t>
        </w:r>
        <w:r w:rsidR="00064D22">
          <w:rPr>
            <w:rFonts w:ascii="宋体" w:hAnsi="宋体" w:hint="eastAsia"/>
            <w:noProof/>
            <w:sz w:val="24"/>
          </w:rPr>
          <w:tab/>
        </w:r>
        <w:r w:rsidR="00064D22">
          <w:rPr>
            <w:rFonts w:ascii="宋体" w:hAnsi="宋体" w:hint="eastAsia"/>
            <w:noProof/>
            <w:sz w:val="24"/>
          </w:rPr>
          <w:fldChar w:fldCharType="begin"/>
        </w:r>
        <w:r w:rsidR="00064D22">
          <w:rPr>
            <w:rFonts w:ascii="宋体" w:hAnsi="宋体" w:hint="eastAsia"/>
            <w:noProof/>
            <w:sz w:val="24"/>
          </w:rPr>
          <w:instrText xml:space="preserve"> PAGEREF _Toc124325898 \h </w:instrText>
        </w:r>
        <w:r w:rsidR="00064D22">
          <w:rPr>
            <w:rFonts w:ascii="宋体" w:hAnsi="宋体" w:hint="eastAsia"/>
            <w:noProof/>
            <w:sz w:val="24"/>
          </w:rPr>
        </w:r>
        <w:r w:rsidR="00064D22">
          <w:rPr>
            <w:rFonts w:ascii="宋体" w:hAnsi="宋体" w:hint="eastAsia"/>
            <w:noProof/>
            <w:sz w:val="24"/>
          </w:rPr>
          <w:fldChar w:fldCharType="separate"/>
        </w:r>
        <w:r w:rsidR="005E2BB4">
          <w:rPr>
            <w:rFonts w:ascii="宋体" w:hAnsi="宋体"/>
            <w:noProof/>
            <w:sz w:val="24"/>
          </w:rPr>
          <w:t>37</w:t>
        </w:r>
        <w:r w:rsidR="00064D22">
          <w:rPr>
            <w:rFonts w:ascii="宋体" w:hAnsi="宋体" w:hint="eastAsia"/>
            <w:noProof/>
            <w:sz w:val="24"/>
          </w:rPr>
          <w:fldChar w:fldCharType="end"/>
        </w:r>
      </w:hyperlink>
    </w:p>
    <w:p w14:paraId="07793ECB" w14:textId="60D6AB7C" w:rsidR="00353BD1" w:rsidRDefault="00D50231">
      <w:pPr>
        <w:pStyle w:val="23"/>
        <w:tabs>
          <w:tab w:val="right" w:leader="dot" w:pos="8494"/>
        </w:tabs>
        <w:spacing w:line="360" w:lineRule="auto"/>
        <w:rPr>
          <w:rFonts w:ascii="宋体" w:hAnsi="宋体"/>
          <w:noProof/>
          <w:sz w:val="24"/>
        </w:rPr>
      </w:pPr>
      <w:hyperlink w:anchor="_Toc124325899" w:history="1">
        <w:r w:rsidR="00064D22">
          <w:rPr>
            <w:rStyle w:val="af1"/>
            <w:rFonts w:ascii="宋体" w:hAnsi="宋体" w:hint="eastAsia"/>
            <w:noProof/>
            <w:sz w:val="24"/>
          </w:rPr>
          <w:t>十五、禁止</w:t>
        </w:r>
        <w:bookmarkStart w:id="9" w:name="_Hlt133480885"/>
        <w:bookmarkStart w:id="10" w:name="_Hlt133480886"/>
        <w:r w:rsidR="00064D22">
          <w:rPr>
            <w:rStyle w:val="af1"/>
            <w:rFonts w:ascii="宋体" w:hAnsi="宋体" w:hint="eastAsia"/>
            <w:noProof/>
            <w:sz w:val="24"/>
          </w:rPr>
          <w:t>行</w:t>
        </w:r>
        <w:bookmarkEnd w:id="9"/>
        <w:bookmarkEnd w:id="10"/>
        <w:r w:rsidR="00064D22">
          <w:rPr>
            <w:rStyle w:val="af1"/>
            <w:rFonts w:ascii="宋体" w:hAnsi="宋体" w:hint="eastAsia"/>
            <w:noProof/>
            <w:sz w:val="24"/>
          </w:rPr>
          <w:t>为</w:t>
        </w:r>
        <w:r w:rsidR="00064D22">
          <w:rPr>
            <w:rFonts w:ascii="宋体" w:hAnsi="宋体" w:hint="eastAsia"/>
            <w:noProof/>
            <w:sz w:val="24"/>
          </w:rPr>
          <w:tab/>
        </w:r>
        <w:r w:rsidR="00064D22">
          <w:rPr>
            <w:rFonts w:ascii="宋体" w:hAnsi="宋体" w:hint="eastAsia"/>
            <w:noProof/>
            <w:sz w:val="24"/>
          </w:rPr>
          <w:fldChar w:fldCharType="begin"/>
        </w:r>
        <w:r w:rsidR="00064D22">
          <w:rPr>
            <w:rFonts w:ascii="宋体" w:hAnsi="宋体" w:hint="eastAsia"/>
            <w:noProof/>
            <w:sz w:val="24"/>
          </w:rPr>
          <w:instrText xml:space="preserve"> PAGEREF _Toc124325899 \h </w:instrText>
        </w:r>
        <w:r w:rsidR="00064D22">
          <w:rPr>
            <w:rFonts w:ascii="宋体" w:hAnsi="宋体" w:hint="eastAsia"/>
            <w:noProof/>
            <w:sz w:val="24"/>
          </w:rPr>
        </w:r>
        <w:r w:rsidR="00064D22">
          <w:rPr>
            <w:rFonts w:ascii="宋体" w:hAnsi="宋体" w:hint="eastAsia"/>
            <w:noProof/>
            <w:sz w:val="24"/>
          </w:rPr>
          <w:fldChar w:fldCharType="separate"/>
        </w:r>
        <w:r w:rsidR="005E2BB4">
          <w:rPr>
            <w:rFonts w:ascii="宋体" w:hAnsi="宋体"/>
            <w:noProof/>
            <w:sz w:val="24"/>
          </w:rPr>
          <w:t>39</w:t>
        </w:r>
        <w:r w:rsidR="00064D22">
          <w:rPr>
            <w:rFonts w:ascii="宋体" w:hAnsi="宋体" w:hint="eastAsia"/>
            <w:noProof/>
            <w:sz w:val="24"/>
          </w:rPr>
          <w:fldChar w:fldCharType="end"/>
        </w:r>
      </w:hyperlink>
    </w:p>
    <w:p w14:paraId="516AB901" w14:textId="1B593D27" w:rsidR="00353BD1" w:rsidRDefault="00D50231">
      <w:pPr>
        <w:pStyle w:val="23"/>
        <w:tabs>
          <w:tab w:val="right" w:leader="dot" w:pos="8494"/>
        </w:tabs>
        <w:spacing w:line="360" w:lineRule="auto"/>
        <w:rPr>
          <w:rFonts w:ascii="宋体" w:hAnsi="宋体"/>
          <w:noProof/>
          <w:sz w:val="24"/>
        </w:rPr>
      </w:pPr>
      <w:hyperlink w:anchor="_Toc124325900" w:history="1">
        <w:r w:rsidR="00064D22">
          <w:rPr>
            <w:rStyle w:val="af1"/>
            <w:rFonts w:ascii="宋体" w:hAnsi="宋体" w:hint="eastAsia"/>
            <w:noProof/>
            <w:sz w:val="24"/>
          </w:rPr>
          <w:t>十六、托管协议的变更、终止与基金财产的清算</w:t>
        </w:r>
        <w:r w:rsidR="00064D22">
          <w:rPr>
            <w:rFonts w:ascii="宋体" w:hAnsi="宋体" w:hint="eastAsia"/>
            <w:noProof/>
            <w:sz w:val="24"/>
          </w:rPr>
          <w:tab/>
        </w:r>
        <w:r w:rsidR="00064D22">
          <w:rPr>
            <w:rFonts w:ascii="宋体" w:hAnsi="宋体" w:hint="eastAsia"/>
            <w:noProof/>
            <w:sz w:val="24"/>
          </w:rPr>
          <w:fldChar w:fldCharType="begin"/>
        </w:r>
        <w:r w:rsidR="00064D22">
          <w:rPr>
            <w:rFonts w:ascii="宋体" w:hAnsi="宋体" w:hint="eastAsia"/>
            <w:noProof/>
            <w:sz w:val="24"/>
          </w:rPr>
          <w:instrText xml:space="preserve"> PAGEREF _Toc124325900 \h </w:instrText>
        </w:r>
        <w:r w:rsidR="00064D22">
          <w:rPr>
            <w:rFonts w:ascii="宋体" w:hAnsi="宋体" w:hint="eastAsia"/>
            <w:noProof/>
            <w:sz w:val="24"/>
          </w:rPr>
        </w:r>
        <w:r w:rsidR="00064D22">
          <w:rPr>
            <w:rFonts w:ascii="宋体" w:hAnsi="宋体" w:hint="eastAsia"/>
            <w:noProof/>
            <w:sz w:val="24"/>
          </w:rPr>
          <w:fldChar w:fldCharType="separate"/>
        </w:r>
        <w:r w:rsidR="005E2BB4">
          <w:rPr>
            <w:rFonts w:ascii="宋体" w:hAnsi="宋体"/>
            <w:noProof/>
            <w:sz w:val="24"/>
          </w:rPr>
          <w:t>40</w:t>
        </w:r>
        <w:r w:rsidR="00064D22">
          <w:rPr>
            <w:rFonts w:ascii="宋体" w:hAnsi="宋体" w:hint="eastAsia"/>
            <w:noProof/>
            <w:sz w:val="24"/>
          </w:rPr>
          <w:fldChar w:fldCharType="end"/>
        </w:r>
      </w:hyperlink>
    </w:p>
    <w:p w14:paraId="06482B3E" w14:textId="504D589E" w:rsidR="00353BD1" w:rsidRDefault="00D50231">
      <w:pPr>
        <w:pStyle w:val="23"/>
        <w:tabs>
          <w:tab w:val="right" w:leader="dot" w:pos="8494"/>
        </w:tabs>
        <w:spacing w:line="360" w:lineRule="auto"/>
        <w:rPr>
          <w:rFonts w:ascii="宋体" w:hAnsi="宋体"/>
          <w:noProof/>
          <w:sz w:val="24"/>
        </w:rPr>
      </w:pPr>
      <w:hyperlink w:anchor="_Toc124325901" w:history="1">
        <w:r w:rsidR="00064D22">
          <w:rPr>
            <w:rStyle w:val="af1"/>
            <w:rFonts w:ascii="宋体" w:hAnsi="宋体" w:hint="eastAsia"/>
            <w:noProof/>
            <w:sz w:val="24"/>
          </w:rPr>
          <w:t>十七、违约责任</w:t>
        </w:r>
        <w:r w:rsidR="00064D22">
          <w:rPr>
            <w:rFonts w:ascii="宋体" w:hAnsi="宋体" w:hint="eastAsia"/>
            <w:noProof/>
            <w:sz w:val="24"/>
          </w:rPr>
          <w:tab/>
        </w:r>
        <w:r w:rsidR="00064D22">
          <w:rPr>
            <w:rFonts w:ascii="宋体" w:hAnsi="宋体" w:hint="eastAsia"/>
            <w:noProof/>
            <w:sz w:val="24"/>
          </w:rPr>
          <w:fldChar w:fldCharType="begin"/>
        </w:r>
        <w:r w:rsidR="00064D22">
          <w:rPr>
            <w:rFonts w:ascii="宋体" w:hAnsi="宋体" w:hint="eastAsia"/>
            <w:noProof/>
            <w:sz w:val="24"/>
          </w:rPr>
          <w:instrText xml:space="preserve"> PAGEREF _Toc124325901 \h </w:instrText>
        </w:r>
        <w:r w:rsidR="00064D22">
          <w:rPr>
            <w:rFonts w:ascii="宋体" w:hAnsi="宋体" w:hint="eastAsia"/>
            <w:noProof/>
            <w:sz w:val="24"/>
          </w:rPr>
        </w:r>
        <w:r w:rsidR="00064D22">
          <w:rPr>
            <w:rFonts w:ascii="宋体" w:hAnsi="宋体" w:hint="eastAsia"/>
            <w:noProof/>
            <w:sz w:val="24"/>
          </w:rPr>
          <w:fldChar w:fldCharType="separate"/>
        </w:r>
        <w:r w:rsidR="005E2BB4">
          <w:rPr>
            <w:rFonts w:ascii="宋体" w:hAnsi="宋体"/>
            <w:noProof/>
            <w:sz w:val="24"/>
          </w:rPr>
          <w:t>42</w:t>
        </w:r>
        <w:r w:rsidR="00064D22">
          <w:rPr>
            <w:rFonts w:ascii="宋体" w:hAnsi="宋体" w:hint="eastAsia"/>
            <w:noProof/>
            <w:sz w:val="24"/>
          </w:rPr>
          <w:fldChar w:fldCharType="end"/>
        </w:r>
      </w:hyperlink>
    </w:p>
    <w:p w14:paraId="19AF8EC4" w14:textId="5E3651AA" w:rsidR="00353BD1" w:rsidRDefault="00D50231">
      <w:pPr>
        <w:pStyle w:val="23"/>
        <w:tabs>
          <w:tab w:val="right" w:leader="dot" w:pos="8494"/>
        </w:tabs>
        <w:spacing w:line="360" w:lineRule="auto"/>
        <w:rPr>
          <w:rFonts w:ascii="宋体" w:hAnsi="宋体"/>
          <w:noProof/>
          <w:sz w:val="24"/>
        </w:rPr>
      </w:pPr>
      <w:hyperlink w:anchor="_Toc124325902" w:history="1">
        <w:r w:rsidR="00064D22">
          <w:rPr>
            <w:rStyle w:val="af1"/>
            <w:rFonts w:ascii="宋体" w:hAnsi="宋体" w:hint="eastAsia"/>
            <w:noProof/>
            <w:sz w:val="24"/>
          </w:rPr>
          <w:t>十八、争议解决方式</w:t>
        </w:r>
        <w:r w:rsidR="00064D22">
          <w:rPr>
            <w:rFonts w:ascii="宋体" w:hAnsi="宋体" w:hint="eastAsia"/>
            <w:noProof/>
            <w:sz w:val="24"/>
          </w:rPr>
          <w:tab/>
        </w:r>
        <w:r w:rsidR="00064D22">
          <w:rPr>
            <w:rFonts w:ascii="宋体" w:hAnsi="宋体" w:hint="eastAsia"/>
            <w:noProof/>
            <w:sz w:val="24"/>
          </w:rPr>
          <w:fldChar w:fldCharType="begin"/>
        </w:r>
        <w:r w:rsidR="00064D22">
          <w:rPr>
            <w:rFonts w:ascii="宋体" w:hAnsi="宋体" w:hint="eastAsia"/>
            <w:noProof/>
            <w:sz w:val="24"/>
          </w:rPr>
          <w:instrText xml:space="preserve"> PAGEREF _Toc124325902 \h </w:instrText>
        </w:r>
        <w:r w:rsidR="00064D22">
          <w:rPr>
            <w:rFonts w:ascii="宋体" w:hAnsi="宋体" w:hint="eastAsia"/>
            <w:noProof/>
            <w:sz w:val="24"/>
          </w:rPr>
        </w:r>
        <w:r w:rsidR="00064D22">
          <w:rPr>
            <w:rFonts w:ascii="宋体" w:hAnsi="宋体" w:hint="eastAsia"/>
            <w:noProof/>
            <w:sz w:val="24"/>
          </w:rPr>
          <w:fldChar w:fldCharType="separate"/>
        </w:r>
        <w:r w:rsidR="005E2BB4">
          <w:rPr>
            <w:rFonts w:ascii="宋体" w:hAnsi="宋体"/>
            <w:noProof/>
            <w:sz w:val="24"/>
          </w:rPr>
          <w:t>43</w:t>
        </w:r>
        <w:r w:rsidR="00064D22">
          <w:rPr>
            <w:rFonts w:ascii="宋体" w:hAnsi="宋体" w:hint="eastAsia"/>
            <w:noProof/>
            <w:sz w:val="24"/>
          </w:rPr>
          <w:fldChar w:fldCharType="end"/>
        </w:r>
      </w:hyperlink>
    </w:p>
    <w:p w14:paraId="7F04B33D" w14:textId="3619FD6C" w:rsidR="00353BD1" w:rsidRDefault="00D50231">
      <w:pPr>
        <w:pStyle w:val="23"/>
        <w:tabs>
          <w:tab w:val="right" w:leader="dot" w:pos="8494"/>
        </w:tabs>
        <w:spacing w:line="360" w:lineRule="auto"/>
        <w:rPr>
          <w:rFonts w:ascii="宋体" w:hAnsi="宋体"/>
          <w:noProof/>
          <w:sz w:val="24"/>
        </w:rPr>
      </w:pPr>
      <w:hyperlink w:anchor="_Toc124325903" w:history="1">
        <w:r w:rsidR="00064D22">
          <w:rPr>
            <w:rStyle w:val="af1"/>
            <w:rFonts w:ascii="宋体" w:hAnsi="宋体" w:hint="eastAsia"/>
            <w:noProof/>
            <w:sz w:val="24"/>
          </w:rPr>
          <w:t>十九、托管协议的效力</w:t>
        </w:r>
        <w:r w:rsidR="00064D22">
          <w:rPr>
            <w:rFonts w:ascii="宋体" w:hAnsi="宋体" w:hint="eastAsia"/>
            <w:noProof/>
            <w:sz w:val="24"/>
          </w:rPr>
          <w:tab/>
        </w:r>
        <w:r w:rsidR="00064D22">
          <w:rPr>
            <w:rFonts w:ascii="宋体" w:hAnsi="宋体" w:hint="eastAsia"/>
            <w:noProof/>
            <w:sz w:val="24"/>
          </w:rPr>
          <w:fldChar w:fldCharType="begin"/>
        </w:r>
        <w:r w:rsidR="00064D22">
          <w:rPr>
            <w:rFonts w:ascii="宋体" w:hAnsi="宋体" w:hint="eastAsia"/>
            <w:noProof/>
            <w:sz w:val="24"/>
          </w:rPr>
          <w:instrText xml:space="preserve"> PAGEREF _Toc124325903 \h </w:instrText>
        </w:r>
        <w:r w:rsidR="00064D22">
          <w:rPr>
            <w:rFonts w:ascii="宋体" w:hAnsi="宋体" w:hint="eastAsia"/>
            <w:noProof/>
            <w:sz w:val="24"/>
          </w:rPr>
        </w:r>
        <w:r w:rsidR="00064D22">
          <w:rPr>
            <w:rFonts w:ascii="宋体" w:hAnsi="宋体" w:hint="eastAsia"/>
            <w:noProof/>
            <w:sz w:val="24"/>
          </w:rPr>
          <w:fldChar w:fldCharType="separate"/>
        </w:r>
        <w:r w:rsidR="005E2BB4">
          <w:rPr>
            <w:rFonts w:ascii="宋体" w:hAnsi="宋体"/>
            <w:noProof/>
            <w:sz w:val="24"/>
          </w:rPr>
          <w:t>43</w:t>
        </w:r>
        <w:r w:rsidR="00064D22">
          <w:rPr>
            <w:rFonts w:ascii="宋体" w:hAnsi="宋体" w:hint="eastAsia"/>
            <w:noProof/>
            <w:sz w:val="24"/>
          </w:rPr>
          <w:fldChar w:fldCharType="end"/>
        </w:r>
      </w:hyperlink>
    </w:p>
    <w:p w14:paraId="725D3AA5" w14:textId="016180C6" w:rsidR="00353BD1" w:rsidRDefault="00D50231">
      <w:pPr>
        <w:pStyle w:val="23"/>
        <w:tabs>
          <w:tab w:val="right" w:leader="dot" w:pos="8494"/>
        </w:tabs>
        <w:spacing w:line="360" w:lineRule="auto"/>
        <w:rPr>
          <w:rFonts w:ascii="宋体" w:hAnsi="宋体"/>
          <w:noProof/>
          <w:sz w:val="24"/>
        </w:rPr>
      </w:pPr>
      <w:hyperlink w:anchor="_Toc124325904" w:history="1">
        <w:r w:rsidR="00064D22">
          <w:rPr>
            <w:rStyle w:val="af1"/>
            <w:rFonts w:ascii="宋体" w:hAnsi="宋体" w:hint="eastAsia"/>
            <w:noProof/>
            <w:sz w:val="24"/>
          </w:rPr>
          <w:t>二十、其他事项</w:t>
        </w:r>
        <w:r w:rsidR="00064D22">
          <w:rPr>
            <w:rFonts w:ascii="宋体" w:hAnsi="宋体" w:hint="eastAsia"/>
            <w:noProof/>
            <w:sz w:val="24"/>
          </w:rPr>
          <w:tab/>
        </w:r>
        <w:r w:rsidR="00064D22">
          <w:rPr>
            <w:rFonts w:ascii="宋体" w:hAnsi="宋体" w:hint="eastAsia"/>
            <w:noProof/>
            <w:sz w:val="24"/>
          </w:rPr>
          <w:fldChar w:fldCharType="begin"/>
        </w:r>
        <w:r w:rsidR="00064D22">
          <w:rPr>
            <w:rFonts w:ascii="宋体" w:hAnsi="宋体" w:hint="eastAsia"/>
            <w:noProof/>
            <w:sz w:val="24"/>
          </w:rPr>
          <w:instrText xml:space="preserve"> PAGEREF _Toc124325904 \h </w:instrText>
        </w:r>
        <w:r w:rsidR="00064D22">
          <w:rPr>
            <w:rFonts w:ascii="宋体" w:hAnsi="宋体" w:hint="eastAsia"/>
            <w:noProof/>
            <w:sz w:val="24"/>
          </w:rPr>
        </w:r>
        <w:r w:rsidR="00064D22">
          <w:rPr>
            <w:rFonts w:ascii="宋体" w:hAnsi="宋体" w:hint="eastAsia"/>
            <w:noProof/>
            <w:sz w:val="24"/>
          </w:rPr>
          <w:fldChar w:fldCharType="separate"/>
        </w:r>
        <w:r w:rsidR="005E2BB4">
          <w:rPr>
            <w:rFonts w:ascii="宋体" w:hAnsi="宋体"/>
            <w:noProof/>
            <w:sz w:val="24"/>
          </w:rPr>
          <w:t>44</w:t>
        </w:r>
        <w:r w:rsidR="00064D22">
          <w:rPr>
            <w:rFonts w:ascii="宋体" w:hAnsi="宋体" w:hint="eastAsia"/>
            <w:noProof/>
            <w:sz w:val="24"/>
          </w:rPr>
          <w:fldChar w:fldCharType="end"/>
        </w:r>
      </w:hyperlink>
    </w:p>
    <w:p w14:paraId="7D9FC625" w14:textId="46A087E7" w:rsidR="00353BD1" w:rsidRDefault="00D50231">
      <w:pPr>
        <w:pStyle w:val="23"/>
        <w:tabs>
          <w:tab w:val="right" w:leader="dot" w:pos="8494"/>
        </w:tabs>
        <w:spacing w:line="360" w:lineRule="auto"/>
        <w:rPr>
          <w:rFonts w:ascii="宋体" w:hAnsi="宋体"/>
          <w:noProof/>
          <w:sz w:val="24"/>
        </w:rPr>
      </w:pPr>
      <w:hyperlink w:anchor="_Toc124325905" w:history="1">
        <w:r w:rsidR="00064D22">
          <w:rPr>
            <w:rStyle w:val="af1"/>
            <w:rFonts w:ascii="宋体" w:hAnsi="宋体" w:hint="eastAsia"/>
            <w:noProof/>
            <w:sz w:val="24"/>
          </w:rPr>
          <w:t>二十一、托管协议的签订</w:t>
        </w:r>
        <w:r w:rsidR="00064D22">
          <w:rPr>
            <w:rFonts w:ascii="宋体" w:hAnsi="宋体" w:hint="eastAsia"/>
            <w:noProof/>
            <w:sz w:val="24"/>
          </w:rPr>
          <w:tab/>
        </w:r>
        <w:r w:rsidR="00064D22">
          <w:rPr>
            <w:rFonts w:ascii="宋体" w:hAnsi="宋体" w:hint="eastAsia"/>
            <w:noProof/>
            <w:sz w:val="24"/>
          </w:rPr>
          <w:fldChar w:fldCharType="begin"/>
        </w:r>
        <w:r w:rsidR="00064D22">
          <w:rPr>
            <w:rFonts w:ascii="宋体" w:hAnsi="宋体" w:hint="eastAsia"/>
            <w:noProof/>
            <w:sz w:val="24"/>
          </w:rPr>
          <w:instrText xml:space="preserve"> PAGEREF _Toc124325905 \h </w:instrText>
        </w:r>
        <w:r w:rsidR="00064D22">
          <w:rPr>
            <w:rFonts w:ascii="宋体" w:hAnsi="宋体" w:hint="eastAsia"/>
            <w:noProof/>
            <w:sz w:val="24"/>
          </w:rPr>
        </w:r>
        <w:r w:rsidR="00064D22">
          <w:rPr>
            <w:rFonts w:ascii="宋体" w:hAnsi="宋体" w:hint="eastAsia"/>
            <w:noProof/>
            <w:sz w:val="24"/>
          </w:rPr>
          <w:fldChar w:fldCharType="separate"/>
        </w:r>
        <w:r w:rsidR="005E2BB4">
          <w:rPr>
            <w:rFonts w:ascii="宋体" w:hAnsi="宋体"/>
            <w:noProof/>
            <w:sz w:val="24"/>
          </w:rPr>
          <w:t>44</w:t>
        </w:r>
        <w:r w:rsidR="00064D22">
          <w:rPr>
            <w:rFonts w:ascii="宋体" w:hAnsi="宋体" w:hint="eastAsia"/>
            <w:noProof/>
            <w:sz w:val="24"/>
          </w:rPr>
          <w:fldChar w:fldCharType="end"/>
        </w:r>
      </w:hyperlink>
    </w:p>
    <w:p w14:paraId="75818388" w14:textId="77777777" w:rsidR="00353BD1" w:rsidRDefault="00064D22">
      <w:pPr>
        <w:spacing w:line="360" w:lineRule="auto"/>
        <w:rPr>
          <w:rFonts w:ascii="宋体" w:hAnsi="宋体"/>
          <w:sz w:val="28"/>
        </w:rPr>
      </w:pPr>
      <w:r>
        <w:rPr>
          <w:rFonts w:ascii="宋体" w:hAnsi="宋体" w:hint="eastAsia"/>
          <w:sz w:val="28"/>
        </w:rPr>
        <w:fldChar w:fldCharType="end"/>
      </w:r>
    </w:p>
    <w:p w14:paraId="049FEF9F" w14:textId="77777777" w:rsidR="00353BD1" w:rsidRDefault="00064D22">
      <w:pPr>
        <w:widowControl/>
        <w:jc w:val="left"/>
        <w:rPr>
          <w:rFonts w:ascii="宋体" w:hAnsi="宋体"/>
          <w:sz w:val="28"/>
        </w:rPr>
      </w:pPr>
      <w:r>
        <w:rPr>
          <w:rFonts w:ascii="宋体" w:hAnsi="宋体"/>
          <w:sz w:val="28"/>
        </w:rPr>
        <w:br w:type="page"/>
      </w:r>
    </w:p>
    <w:p w14:paraId="06B859F1" w14:textId="77777777" w:rsidR="00353BD1" w:rsidRDefault="00353BD1">
      <w:pPr>
        <w:spacing w:line="360" w:lineRule="auto"/>
        <w:rPr>
          <w:rFonts w:ascii="宋体" w:hAnsi="宋体"/>
          <w:sz w:val="24"/>
        </w:rPr>
      </w:pPr>
    </w:p>
    <w:p w14:paraId="695F2859" w14:textId="0C128FC0" w:rsidR="00353BD1" w:rsidRDefault="00064D22">
      <w:pPr>
        <w:widowControl/>
        <w:adjustRightInd w:val="0"/>
        <w:snapToGrid w:val="0"/>
        <w:spacing w:line="360" w:lineRule="auto"/>
        <w:ind w:firstLineChars="200" w:firstLine="480"/>
        <w:rPr>
          <w:rFonts w:ascii="宋体" w:hAnsi="宋体" w:cs="Arial"/>
          <w:kern w:val="0"/>
          <w:sz w:val="24"/>
        </w:rPr>
      </w:pPr>
      <w:r>
        <w:rPr>
          <w:rFonts w:ascii="宋体" w:hAnsi="宋体" w:cs="Arial" w:hint="eastAsia"/>
          <w:kern w:val="0"/>
          <w:sz w:val="24"/>
        </w:rPr>
        <w:t>鉴于广发基金管理有限公司系一家依照中国法律合法成立并有效存续的有限责任公司，按照相关法律法规的规定具备担任基金管理人的资格和能力，拟募集发行</w:t>
      </w:r>
      <w:r w:rsidR="0084246F">
        <w:rPr>
          <w:rFonts w:ascii="宋体" w:hAnsi="宋体" w:cs="Arial" w:hint="eastAsia"/>
          <w:kern w:val="0"/>
          <w:sz w:val="24"/>
        </w:rPr>
        <w:t>广发稳航混合型证券投资基金</w:t>
      </w:r>
      <w:r>
        <w:rPr>
          <w:rFonts w:ascii="宋体" w:hAnsi="宋体" w:cs="Arial" w:hint="eastAsia"/>
          <w:kern w:val="0"/>
          <w:sz w:val="24"/>
        </w:rPr>
        <w:t>；</w:t>
      </w:r>
    </w:p>
    <w:p w14:paraId="029BC836" w14:textId="77777777" w:rsidR="00353BD1" w:rsidRDefault="00064D22">
      <w:pPr>
        <w:widowControl/>
        <w:adjustRightInd w:val="0"/>
        <w:snapToGrid w:val="0"/>
        <w:spacing w:line="360" w:lineRule="auto"/>
        <w:ind w:firstLineChars="200" w:firstLine="480"/>
        <w:rPr>
          <w:rFonts w:ascii="宋体" w:hAnsi="宋体" w:cs="Arial"/>
          <w:kern w:val="0"/>
          <w:sz w:val="24"/>
        </w:rPr>
      </w:pPr>
      <w:r>
        <w:rPr>
          <w:rFonts w:ascii="宋体" w:hAnsi="宋体" w:cs="Arial" w:hint="eastAsia"/>
          <w:kern w:val="0"/>
          <w:sz w:val="24"/>
        </w:rPr>
        <w:t>鉴于中国建设银行股份有限公司系一家依照中国法律合法成立并有效存续的银行，按照相关法律法规的规定具备担任基金托管人的资格和能力；</w:t>
      </w:r>
    </w:p>
    <w:p w14:paraId="2D5C65FB" w14:textId="64DF320E" w:rsidR="00353BD1" w:rsidRDefault="00064D22">
      <w:pPr>
        <w:widowControl/>
        <w:adjustRightInd w:val="0"/>
        <w:snapToGrid w:val="0"/>
        <w:spacing w:line="360" w:lineRule="auto"/>
        <w:ind w:firstLineChars="200" w:firstLine="480"/>
        <w:rPr>
          <w:rFonts w:ascii="宋体" w:hAnsi="宋体" w:cs="Arial"/>
          <w:kern w:val="0"/>
          <w:sz w:val="24"/>
        </w:rPr>
      </w:pPr>
      <w:r>
        <w:rPr>
          <w:rFonts w:ascii="宋体" w:hAnsi="宋体" w:cs="Arial" w:hint="eastAsia"/>
          <w:kern w:val="0"/>
          <w:sz w:val="24"/>
        </w:rPr>
        <w:t>鉴于广发基金管理有限公司拟担任</w:t>
      </w:r>
      <w:r w:rsidR="0084246F">
        <w:rPr>
          <w:rFonts w:ascii="宋体" w:hAnsi="宋体" w:cs="Arial" w:hint="eastAsia"/>
          <w:kern w:val="0"/>
          <w:sz w:val="24"/>
        </w:rPr>
        <w:t>广发稳航混合型证券投资基金</w:t>
      </w:r>
      <w:r>
        <w:rPr>
          <w:rFonts w:ascii="宋体" w:hAnsi="宋体" w:cs="Arial" w:hint="eastAsia"/>
          <w:kern w:val="0"/>
          <w:sz w:val="24"/>
        </w:rPr>
        <w:t>的基金管理人，中国建设银行股份有限公司拟担任</w:t>
      </w:r>
      <w:r w:rsidR="0084246F">
        <w:rPr>
          <w:rFonts w:ascii="宋体" w:hAnsi="宋体" w:cs="Arial" w:hint="eastAsia"/>
          <w:kern w:val="0"/>
          <w:sz w:val="24"/>
        </w:rPr>
        <w:t>广发稳航混合型证券投资基金</w:t>
      </w:r>
      <w:r>
        <w:rPr>
          <w:rFonts w:ascii="宋体" w:hAnsi="宋体" w:cs="Arial" w:hint="eastAsia"/>
          <w:kern w:val="0"/>
          <w:sz w:val="24"/>
        </w:rPr>
        <w:t>的基金托管人；</w:t>
      </w:r>
    </w:p>
    <w:p w14:paraId="4CC12806" w14:textId="3BAE6A69" w:rsidR="00353BD1" w:rsidRDefault="00064D22">
      <w:pPr>
        <w:widowControl/>
        <w:adjustRightInd w:val="0"/>
        <w:snapToGrid w:val="0"/>
        <w:spacing w:line="360" w:lineRule="auto"/>
        <w:ind w:firstLineChars="200" w:firstLine="480"/>
        <w:rPr>
          <w:rFonts w:ascii="宋体" w:hAnsi="宋体" w:cs="Arial"/>
          <w:kern w:val="0"/>
          <w:sz w:val="24"/>
        </w:rPr>
      </w:pPr>
      <w:r>
        <w:rPr>
          <w:rFonts w:ascii="宋体" w:hAnsi="宋体" w:cs="Arial" w:hint="eastAsia"/>
          <w:kern w:val="0"/>
          <w:sz w:val="24"/>
        </w:rPr>
        <w:t>为明确</w:t>
      </w:r>
      <w:r w:rsidR="0084246F">
        <w:rPr>
          <w:rFonts w:ascii="宋体" w:hAnsi="宋体" w:cs="Arial" w:hint="eastAsia"/>
          <w:kern w:val="0"/>
          <w:sz w:val="24"/>
        </w:rPr>
        <w:t>广发稳航混合型证券投资基金</w:t>
      </w:r>
      <w:r>
        <w:rPr>
          <w:rFonts w:ascii="宋体" w:hAnsi="宋体" w:cs="Arial" w:hint="eastAsia"/>
          <w:kern w:val="0"/>
          <w:sz w:val="24"/>
        </w:rPr>
        <w:t>的基金管理人和基金托管人之间的权利义务关系，特制订本托管协议；</w:t>
      </w:r>
    </w:p>
    <w:p w14:paraId="292956DB" w14:textId="412C82C1" w:rsidR="00353BD1" w:rsidRDefault="00064D22">
      <w:pPr>
        <w:widowControl/>
        <w:adjustRightInd w:val="0"/>
        <w:snapToGrid w:val="0"/>
        <w:spacing w:line="360" w:lineRule="auto"/>
        <w:ind w:firstLineChars="200" w:firstLine="480"/>
        <w:rPr>
          <w:rFonts w:ascii="宋体" w:hAnsi="宋体" w:cs="Arial"/>
          <w:kern w:val="0"/>
          <w:sz w:val="24"/>
          <w:lang w:val="en-GB"/>
        </w:rPr>
      </w:pPr>
      <w:r>
        <w:rPr>
          <w:rFonts w:ascii="宋体" w:hAnsi="宋体" w:cs="Arial" w:hint="eastAsia"/>
          <w:kern w:val="0"/>
          <w:sz w:val="24"/>
          <w:lang w:val="en-GB"/>
        </w:rPr>
        <w:t>除非另有约定，《</w:t>
      </w:r>
      <w:r w:rsidR="0084246F">
        <w:rPr>
          <w:rFonts w:ascii="宋体" w:hAnsi="宋体" w:cs="Arial" w:hint="eastAsia"/>
          <w:kern w:val="0"/>
          <w:sz w:val="24"/>
          <w:lang w:val="en-GB"/>
        </w:rPr>
        <w:t>广发稳航混合型证券投资基金</w:t>
      </w:r>
      <w:r>
        <w:rPr>
          <w:rFonts w:ascii="宋体" w:hAnsi="宋体" w:cs="Arial" w:hint="eastAsia"/>
          <w:kern w:val="0"/>
          <w:sz w:val="24"/>
          <w:lang w:val="en-GB"/>
        </w:rPr>
        <w:t>基金合同》(以下简称“基金合同”)中定义的术语在用于本托管协议时应具有相同的含义；若有抵触应以《基金合同》为准，并依其</w:t>
      </w:r>
      <w:r>
        <w:rPr>
          <w:rFonts w:ascii="宋体" w:hAnsi="宋体" w:cs="Arial" w:hint="eastAsia"/>
          <w:kern w:val="0"/>
          <w:sz w:val="24"/>
        </w:rPr>
        <w:t>条款</w:t>
      </w:r>
      <w:r>
        <w:rPr>
          <w:rFonts w:ascii="宋体" w:hAnsi="宋体" w:cs="Arial" w:hint="eastAsia"/>
          <w:kern w:val="0"/>
          <w:sz w:val="24"/>
          <w:lang w:val="en-GB"/>
        </w:rPr>
        <w:t>解释。</w:t>
      </w:r>
    </w:p>
    <w:p w14:paraId="31F5DFE2" w14:textId="77777777" w:rsidR="00353BD1" w:rsidRDefault="00353BD1">
      <w:pPr>
        <w:spacing w:line="360" w:lineRule="auto"/>
        <w:rPr>
          <w:rFonts w:ascii="宋体" w:hAnsi="宋体"/>
          <w:sz w:val="24"/>
          <w:lang w:val="en-GB"/>
        </w:rPr>
      </w:pPr>
    </w:p>
    <w:p w14:paraId="409AB027" w14:textId="77777777" w:rsidR="00353BD1" w:rsidRDefault="00064D22">
      <w:pPr>
        <w:pStyle w:val="2"/>
        <w:spacing w:line="360" w:lineRule="auto"/>
        <w:jc w:val="center"/>
        <w:rPr>
          <w:rFonts w:ascii="宋体" w:eastAsia="宋体" w:hAnsi="宋体"/>
        </w:rPr>
      </w:pPr>
      <w:bookmarkStart w:id="11" w:name="_Toc124325885"/>
      <w:r>
        <w:rPr>
          <w:rFonts w:ascii="宋体" w:eastAsia="宋体" w:hAnsi="宋体" w:hint="eastAsia"/>
        </w:rPr>
        <w:t>一、基金托管协议当事人</w:t>
      </w:r>
      <w:bookmarkEnd w:id="11"/>
    </w:p>
    <w:p w14:paraId="096493D9"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（一）基金管理人</w:t>
      </w:r>
    </w:p>
    <w:p w14:paraId="7288B0D7"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名称：广发基金管理有限公司</w:t>
      </w:r>
    </w:p>
    <w:p w14:paraId="00F50D1D"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注册地址：广东省珠海市横琴新区环岛东路3018号2608室</w:t>
      </w:r>
    </w:p>
    <w:p w14:paraId="5404BF51" w14:textId="4180D350"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办公地址：</w:t>
      </w:r>
      <w:r w:rsidR="00092823" w:rsidRPr="00092823">
        <w:rPr>
          <w:rFonts w:ascii="宋体" w:hAnsi="宋体" w:cs="Arial" w:hint="eastAsia"/>
          <w:sz w:val="24"/>
        </w:rPr>
        <w:t>广东省广州市海珠区琶洲大道168号星河湾中心28-38层；</w:t>
      </w:r>
      <w:r>
        <w:rPr>
          <w:rFonts w:ascii="宋体" w:hAnsi="宋体" w:cs="Arial" w:hint="eastAsia"/>
          <w:sz w:val="24"/>
        </w:rPr>
        <w:t>广东省广州市海珠区琶洲大道东1号保利国际广场南塔31－33楼；广东省珠海市横琴新区环岛东路3018号2603-2622室</w:t>
      </w:r>
    </w:p>
    <w:p w14:paraId="552C5F97"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邮政编码：</w:t>
      </w:r>
      <w:r>
        <w:rPr>
          <w:rFonts w:ascii="宋体" w:hAnsi="宋体" w:cs="Arial"/>
          <w:sz w:val="24"/>
        </w:rPr>
        <w:t>510308</w:t>
      </w:r>
    </w:p>
    <w:p w14:paraId="225C0F01"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法定代表人：葛长伟</w:t>
      </w:r>
    </w:p>
    <w:p w14:paraId="40B86976"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成立日期：</w:t>
      </w:r>
      <w:r>
        <w:rPr>
          <w:rStyle w:val="read"/>
          <w:rFonts w:ascii="宋体" w:hAnsi="宋体" w:cs="Arial" w:hint="eastAsia"/>
          <w:sz w:val="24"/>
        </w:rPr>
        <w:t>2003年8月5日</w:t>
      </w:r>
    </w:p>
    <w:p w14:paraId="7DB2B45F"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批准设立机关及批准设立文号：中国证监会证监基字</w:t>
      </w:r>
      <w:r>
        <w:rPr>
          <w:rStyle w:val="read"/>
          <w:rFonts w:ascii="宋体" w:hAnsi="宋体" w:cs="Arial" w:hint="eastAsia"/>
          <w:sz w:val="24"/>
        </w:rPr>
        <w:t>[</w:t>
      </w:r>
      <w:r>
        <w:rPr>
          <w:rStyle w:val="read"/>
          <w:rFonts w:ascii="宋体" w:hAnsi="宋体" w:cs="Arial"/>
          <w:sz w:val="24"/>
        </w:rPr>
        <w:t>2003</w:t>
      </w:r>
      <w:r>
        <w:rPr>
          <w:rStyle w:val="read"/>
          <w:rFonts w:ascii="宋体" w:hAnsi="宋体" w:cs="Arial" w:hint="eastAsia"/>
          <w:sz w:val="24"/>
        </w:rPr>
        <w:t>]</w:t>
      </w:r>
      <w:r>
        <w:rPr>
          <w:rStyle w:val="read"/>
          <w:rFonts w:ascii="宋体" w:hAnsi="宋体" w:cs="Arial"/>
          <w:sz w:val="24"/>
        </w:rPr>
        <w:t>91</w:t>
      </w:r>
      <w:r>
        <w:rPr>
          <w:rFonts w:ascii="宋体" w:hAnsi="宋体" w:cs="Arial" w:hint="eastAsia"/>
          <w:sz w:val="24"/>
        </w:rPr>
        <w:t>号</w:t>
      </w:r>
    </w:p>
    <w:p w14:paraId="4BBE9EEA"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组织形式：有限责任公司</w:t>
      </w:r>
    </w:p>
    <w:p w14:paraId="6AE36154"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注册资本：14,097.8万元人民币</w:t>
      </w:r>
    </w:p>
    <w:p w14:paraId="3019CA0E"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存续期间：持续经营</w:t>
      </w:r>
    </w:p>
    <w:p w14:paraId="68693C59"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经营范围：基金募集、基金销售、资产管理和中国证监会许可的其他业务</w:t>
      </w:r>
    </w:p>
    <w:p w14:paraId="283D0431"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（二）基金托管人</w:t>
      </w:r>
    </w:p>
    <w:p w14:paraId="47D687D1"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名称：中国建设银行股份有限公司(简称：中国建设银行)</w:t>
      </w:r>
    </w:p>
    <w:p w14:paraId="0C2549BA"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住所：北京市西城区金融大街25号</w:t>
      </w:r>
    </w:p>
    <w:p w14:paraId="0D8A0E29"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办公地址：北京市西城区闹市口大街1号院1号楼</w:t>
      </w:r>
    </w:p>
    <w:p w14:paraId="044DE71B"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邮政编码：100033</w:t>
      </w:r>
    </w:p>
    <w:p w14:paraId="3BA7B0BB"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法定代表人：张金良</w:t>
      </w:r>
    </w:p>
    <w:p w14:paraId="2B33B912"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成立日期：2004年09月17日</w:t>
      </w:r>
    </w:p>
    <w:p w14:paraId="7A4FB7C9"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基金托管业务批准文号：中国证监会证监基字[1998</w:t>
      </w:r>
      <w:bookmarkStart w:id="12" w:name="OLE_LINK3"/>
      <w:r>
        <w:rPr>
          <w:rFonts w:ascii="宋体" w:hAnsi="宋体" w:cs="Arial" w:hint="eastAsia"/>
          <w:sz w:val="24"/>
        </w:rPr>
        <w:t>]</w:t>
      </w:r>
      <w:bookmarkEnd w:id="12"/>
      <w:r>
        <w:rPr>
          <w:rFonts w:ascii="宋体" w:hAnsi="宋体" w:cs="Arial" w:hint="eastAsia"/>
          <w:sz w:val="24"/>
        </w:rPr>
        <w:t>12号</w:t>
      </w:r>
    </w:p>
    <w:p w14:paraId="5F4A8876"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组织形式：股份有限公司</w:t>
      </w:r>
    </w:p>
    <w:p w14:paraId="49620D2E" w14:textId="350D3B93"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注册资本：</w:t>
      </w:r>
      <w:r w:rsidR="00BD7DF4">
        <w:rPr>
          <w:rFonts w:ascii="宋体" w:hAnsi="宋体" w:hint="eastAsia"/>
          <w:sz w:val="24"/>
        </w:rPr>
        <w:t>贰仟陆佰壹拾陆亿叁拾捌万壹仟肆佰伍拾玖元整</w:t>
      </w:r>
    </w:p>
    <w:p w14:paraId="51A07048"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存续期间：持续经营</w:t>
      </w:r>
    </w:p>
    <w:p w14:paraId="13005A71" w14:textId="77777777" w:rsidR="00353BD1" w:rsidRDefault="00064D22">
      <w:pPr>
        <w:tabs>
          <w:tab w:val="left" w:pos="540"/>
        </w:tabs>
        <w:adjustRightInd w:val="0"/>
        <w:snapToGrid w:val="0"/>
        <w:spacing w:line="360" w:lineRule="auto"/>
        <w:ind w:firstLineChars="200" w:firstLine="480"/>
        <w:rPr>
          <w:rFonts w:ascii="宋体" w:hAnsi="宋体" w:cs="Arial"/>
          <w:sz w:val="24"/>
        </w:rPr>
      </w:pPr>
      <w:r>
        <w:rPr>
          <w:rFonts w:ascii="宋体" w:hAnsi="宋体" w:cs="Arial" w:hint="eastAsia"/>
          <w:sz w:val="24"/>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14:paraId="0F9A6431" w14:textId="77777777" w:rsidR="00353BD1" w:rsidRDefault="00353BD1">
      <w:pPr>
        <w:spacing w:line="360" w:lineRule="auto"/>
        <w:rPr>
          <w:rFonts w:ascii="宋体" w:hAnsi="宋体"/>
          <w:sz w:val="24"/>
        </w:rPr>
      </w:pPr>
    </w:p>
    <w:p w14:paraId="310255B0" w14:textId="77777777" w:rsidR="00353BD1" w:rsidRDefault="00064D22">
      <w:pPr>
        <w:pStyle w:val="2"/>
        <w:spacing w:line="360" w:lineRule="auto"/>
        <w:jc w:val="center"/>
        <w:rPr>
          <w:rFonts w:ascii="宋体" w:eastAsia="宋体" w:hAnsi="宋体"/>
          <w:sz w:val="30"/>
        </w:rPr>
      </w:pPr>
      <w:bookmarkStart w:id="13" w:name="_Toc124325886"/>
      <w:r>
        <w:rPr>
          <w:rFonts w:ascii="宋体" w:eastAsia="宋体" w:hAnsi="宋体" w:hint="eastAsia"/>
          <w:sz w:val="30"/>
        </w:rPr>
        <w:t>二、基金托管协议的依据、目的和原则</w:t>
      </w:r>
      <w:bookmarkEnd w:id="13"/>
    </w:p>
    <w:p w14:paraId="419E0905" w14:textId="77777777" w:rsidR="00353BD1" w:rsidRDefault="00064D22">
      <w:pPr>
        <w:adjustRightInd w:val="0"/>
        <w:snapToGrid w:val="0"/>
        <w:spacing w:line="360" w:lineRule="auto"/>
        <w:ind w:firstLineChars="200" w:firstLine="480"/>
        <w:rPr>
          <w:rFonts w:ascii="宋体" w:hAnsi="宋体"/>
          <w:sz w:val="24"/>
          <w:szCs w:val="30"/>
        </w:rPr>
      </w:pPr>
      <w:r>
        <w:rPr>
          <w:rFonts w:ascii="宋体" w:hAnsi="宋体" w:cs="Arial" w:hint="eastAsia"/>
          <w:sz w:val="24"/>
        </w:rPr>
        <w:t>（一）订立托管协议的依据</w:t>
      </w:r>
    </w:p>
    <w:p w14:paraId="66CCD49D"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本协议依据《中华人民共和国证券投资基金法》(以下简称“《基金法》”)等有关法律法规、《基金合同》及其他有关规定制订。</w:t>
      </w:r>
    </w:p>
    <w:p w14:paraId="5B057608"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（二）订立托管协议的目的</w:t>
      </w:r>
    </w:p>
    <w:p w14:paraId="7B8DF96E" w14:textId="77777777" w:rsidR="00353BD1" w:rsidRDefault="00064D22">
      <w:pPr>
        <w:adjustRightInd w:val="0"/>
        <w:snapToGrid w:val="0"/>
        <w:spacing w:line="360" w:lineRule="auto"/>
        <w:ind w:firstLineChars="200" w:firstLine="480"/>
        <w:rPr>
          <w:rFonts w:ascii="宋体" w:hAnsi="宋体"/>
          <w:sz w:val="24"/>
          <w:szCs w:val="30"/>
        </w:rPr>
      </w:pPr>
      <w:r>
        <w:rPr>
          <w:rFonts w:ascii="宋体"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10A6D9B7"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（三）订立托管协议的原则</w:t>
      </w:r>
    </w:p>
    <w:p w14:paraId="6BFAF28E"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基金管理人和基金托管人本着平等自愿、诚实信用、充分保护基金份额持有人合法权益的原则，经协商一致，签订本协议。</w:t>
      </w:r>
    </w:p>
    <w:p w14:paraId="153830D1" w14:textId="77777777" w:rsidR="00353BD1" w:rsidRDefault="00353BD1">
      <w:pPr>
        <w:spacing w:line="360" w:lineRule="auto"/>
        <w:rPr>
          <w:rFonts w:ascii="宋体" w:hAnsi="宋体"/>
          <w:sz w:val="24"/>
        </w:rPr>
      </w:pPr>
    </w:p>
    <w:p w14:paraId="27B585E3" w14:textId="1B82267C" w:rsidR="00353BD1" w:rsidDel="00CD516C" w:rsidRDefault="00064D22">
      <w:pPr>
        <w:pStyle w:val="2"/>
        <w:spacing w:line="360" w:lineRule="auto"/>
        <w:jc w:val="center"/>
        <w:rPr>
          <w:rFonts w:ascii="宋体" w:eastAsia="宋体" w:hAnsi="宋体"/>
          <w:sz w:val="30"/>
        </w:rPr>
      </w:pPr>
      <w:bookmarkStart w:id="14" w:name="_Toc124325887"/>
      <w:r w:rsidDel="00CD516C">
        <w:rPr>
          <w:rFonts w:ascii="宋体" w:eastAsia="宋体" w:hAnsi="宋体" w:hint="eastAsia"/>
          <w:sz w:val="30"/>
        </w:rPr>
        <w:t>三、基金托管人对基金管理人的业务监督和核查</w:t>
      </w:r>
      <w:bookmarkEnd w:id="14"/>
    </w:p>
    <w:p w14:paraId="79DE25A3" w14:textId="2A3B52AD" w:rsidR="00353BD1" w:rsidDel="00CD516C" w:rsidRDefault="00064D22">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将拟投资的标的证券库提供给基金托管人，基金管理人可以根据实际情况的变化，对标的证券库予以更新和调整并及时书面通知基金托管人。基金托管人根据上述投资范围对基金实际投资是否符合《基金合同》关于证券选择标准的约定进行监督。</w:t>
      </w:r>
    </w:p>
    <w:p w14:paraId="05D16085" w14:textId="13558EAA" w:rsidR="0084246F" w:rsidRPr="0084246F" w:rsidDel="00CD516C" w:rsidRDefault="0084246F" w:rsidP="0084246F">
      <w:pPr>
        <w:adjustRightInd w:val="0"/>
        <w:snapToGrid w:val="0"/>
        <w:spacing w:line="360" w:lineRule="auto"/>
        <w:ind w:firstLineChars="200" w:firstLine="480"/>
        <w:rPr>
          <w:rFonts w:ascii="宋体" w:hAnsi="宋体" w:cs="Arial"/>
          <w:sz w:val="24"/>
        </w:rPr>
      </w:pPr>
      <w:r w:rsidRPr="0084246F">
        <w:rPr>
          <w:rFonts w:ascii="宋体" w:hAnsi="宋体" w:cs="Arial" w:hint="eastAsia"/>
          <w:sz w:val="24"/>
        </w:rPr>
        <w:t>本基金的投资范围主要为具有良好流动性的金融工具，包括国内依法发行上市的股票（包括创业板</w:t>
      </w:r>
      <w:r w:rsidR="00C80365">
        <w:rPr>
          <w:rFonts w:ascii="宋体" w:hAnsi="宋体" w:cs="Arial" w:hint="eastAsia"/>
          <w:sz w:val="24"/>
        </w:rPr>
        <w:t>、科创板</w:t>
      </w:r>
      <w:r w:rsidRPr="0084246F">
        <w:rPr>
          <w:rFonts w:ascii="宋体" w:hAnsi="宋体" w:cs="Arial" w:hint="eastAsia"/>
          <w:sz w:val="24"/>
        </w:rPr>
        <w:t>及其他依法发行、上市的股票、存托凭证）、港股通标的股票、经中国证监会依法核准或注册的公开募集证券投资基金（包括全市场股票ETF及基金管理人旗下的权益基金）、债券（包括国债、地方政府债、金融债、企业债、公司债、次级债、可转换债券（含分离交易可转债）、可交换债券、央行票据、中期票据、短期融资券）、资产支持证券、债券回购、银行存款、同业存单、货币市场工具、股指期货、国债期货、信用衍生品、股票期权以及法律法规或中国证监会允许基金投资的其他金融工具（但须符合中国证监会的相关规定）。</w:t>
      </w:r>
      <w:r w:rsidRPr="0084246F" w:rsidDel="00CD516C">
        <w:rPr>
          <w:rFonts w:ascii="宋体" w:hAnsi="宋体" w:cs="Arial" w:hint="eastAsia"/>
          <w:sz w:val="24"/>
        </w:rPr>
        <w:t xml:space="preserve"> </w:t>
      </w:r>
    </w:p>
    <w:p w14:paraId="4DEAEB4B" w14:textId="64B875B0" w:rsidR="00353BD1" w:rsidDel="00CD516C" w:rsidRDefault="0084246F">
      <w:pPr>
        <w:adjustRightInd w:val="0"/>
        <w:snapToGrid w:val="0"/>
        <w:spacing w:line="360" w:lineRule="auto"/>
        <w:ind w:firstLineChars="200" w:firstLine="480"/>
        <w:rPr>
          <w:rFonts w:ascii="宋体" w:hAnsi="宋体" w:cs="Arial"/>
          <w:sz w:val="24"/>
        </w:rPr>
      </w:pPr>
      <w:r w:rsidRPr="0084246F" w:rsidDel="00CD516C">
        <w:rPr>
          <w:rFonts w:ascii="宋体" w:hAnsi="宋体" w:cs="Arial" w:hint="eastAsia"/>
          <w:sz w:val="24"/>
        </w:rPr>
        <w:t>如法律法规或监管机构以后允许基金投资其他品种，基金管理人在履行适当程序后，可以将其纳入投资范围。</w:t>
      </w:r>
    </w:p>
    <w:p w14:paraId="7393D50F" w14:textId="1ACCD487" w:rsidR="0084246F" w:rsidRPr="0084246F" w:rsidDel="00CD516C" w:rsidRDefault="0084246F" w:rsidP="0084246F">
      <w:pPr>
        <w:adjustRightInd w:val="0"/>
        <w:snapToGrid w:val="0"/>
        <w:spacing w:line="360" w:lineRule="auto"/>
        <w:ind w:firstLineChars="200" w:firstLine="480"/>
        <w:rPr>
          <w:rFonts w:ascii="宋体" w:hAnsi="宋体" w:cs="Arial"/>
          <w:sz w:val="24"/>
        </w:rPr>
      </w:pPr>
      <w:r w:rsidRPr="0084246F" w:rsidDel="00CD516C">
        <w:rPr>
          <w:rFonts w:ascii="宋体" w:hAnsi="宋体" w:cs="Arial" w:hint="eastAsia"/>
          <w:sz w:val="24"/>
        </w:rPr>
        <w:t>本基金为混合型基金，基金的投资组合比例为：权益类资产、可转换债券与可交换债券的合计投资比例占基金资产的比例为10%-30%（其中</w:t>
      </w:r>
      <w:r w:rsidR="0023683E">
        <w:rPr>
          <w:rFonts w:hint="eastAsia"/>
          <w:bCs/>
          <w:sz w:val="24"/>
        </w:rPr>
        <w:t>投资于境内股票占基金资产比例不低于</w:t>
      </w:r>
      <w:r w:rsidR="0023683E">
        <w:rPr>
          <w:rFonts w:hint="eastAsia"/>
          <w:bCs/>
          <w:sz w:val="24"/>
        </w:rPr>
        <w:t>1</w:t>
      </w:r>
      <w:r w:rsidR="0023683E">
        <w:rPr>
          <w:bCs/>
          <w:sz w:val="24"/>
        </w:rPr>
        <w:t>0%</w:t>
      </w:r>
      <w:r w:rsidR="0023683E">
        <w:rPr>
          <w:rFonts w:hint="eastAsia"/>
          <w:bCs/>
          <w:sz w:val="24"/>
        </w:rPr>
        <w:t>，</w:t>
      </w:r>
      <w:r w:rsidRPr="0084246F" w:rsidDel="00CD516C">
        <w:rPr>
          <w:rFonts w:ascii="宋体" w:hAnsi="宋体" w:cs="Arial" w:hint="eastAsia"/>
          <w:sz w:val="24"/>
        </w:rPr>
        <w:t>投资于港股通标的股票的比例不得超过股票资产的50%），其中权益类资产包括股票、股票型基金、混合型基金（</w:t>
      </w:r>
      <w:r w:rsidR="00C80365" w:rsidDel="00CD516C">
        <w:rPr>
          <w:bCs/>
          <w:sz w:val="24"/>
        </w:rPr>
        <w:t>混合型基金指基金合同中明确约定股票投资占基金资产的比例</w:t>
      </w:r>
      <w:r w:rsidR="00C80365" w:rsidDel="00CD516C">
        <w:rPr>
          <w:rFonts w:hint="eastAsia"/>
          <w:bCs/>
          <w:sz w:val="24"/>
        </w:rPr>
        <w:t>不低于</w:t>
      </w:r>
      <w:r w:rsidR="00C80365" w:rsidDel="00CD516C">
        <w:rPr>
          <w:bCs/>
          <w:sz w:val="24"/>
        </w:rPr>
        <w:t>60%</w:t>
      </w:r>
      <w:r w:rsidR="00C80365" w:rsidDel="00CD516C">
        <w:rPr>
          <w:bCs/>
          <w:sz w:val="24"/>
        </w:rPr>
        <w:t>或者最近</w:t>
      </w:r>
      <w:r w:rsidR="00C80365" w:rsidDel="00CD516C">
        <w:rPr>
          <w:bCs/>
          <w:sz w:val="24"/>
        </w:rPr>
        <w:t>4</w:t>
      </w:r>
      <w:r w:rsidR="00C80365" w:rsidDel="00CD516C">
        <w:rPr>
          <w:bCs/>
          <w:sz w:val="24"/>
        </w:rPr>
        <w:t>个季度披露的股票投资占基金资产的比例</w:t>
      </w:r>
      <w:r w:rsidR="00C80365" w:rsidDel="00CD516C">
        <w:rPr>
          <w:rFonts w:hint="eastAsia"/>
          <w:bCs/>
          <w:sz w:val="24"/>
        </w:rPr>
        <w:t>均不低于</w:t>
      </w:r>
      <w:r w:rsidR="00C80365" w:rsidDel="00CD516C">
        <w:rPr>
          <w:bCs/>
          <w:sz w:val="24"/>
        </w:rPr>
        <w:t>60%</w:t>
      </w:r>
      <w:r w:rsidR="00C80365" w:rsidDel="00CD516C">
        <w:rPr>
          <w:bCs/>
          <w:sz w:val="24"/>
        </w:rPr>
        <w:t>的混合型基金</w:t>
      </w:r>
      <w:r w:rsidRPr="0084246F" w:rsidDel="00CD516C">
        <w:rPr>
          <w:rFonts w:ascii="宋体" w:hAnsi="宋体" w:cs="Arial" w:hint="eastAsia"/>
          <w:sz w:val="24"/>
        </w:rPr>
        <w:t>）；同业存单投资占基金资产的比例不超过20%；投资于经中国证监会依法核准或注册的公开募集证券投资基金的比例不超过基金资产净值的10%；每个交易日日终在扣除国债期货、股指期货、股票期</w:t>
      </w:r>
      <w:r w:rsidRPr="0084246F" w:rsidDel="00CD516C">
        <w:rPr>
          <w:rFonts w:ascii="宋体" w:hAnsi="宋体" w:cs="Arial" w:hint="eastAsia"/>
          <w:sz w:val="24"/>
        </w:rPr>
        <w:lastRenderedPageBreak/>
        <w:t>权合约需缴纳的交易保证金后，现金或到期日在一年以内的政府债券不低于基金资产净值的5%，其中现金不包括结算备付金、存出保证金和应收申购款等；股指期货、国债期货、股票期权及其他金融工具的投资比例依照法律法规或监管机构的规定执行。</w:t>
      </w:r>
    </w:p>
    <w:p w14:paraId="7BBB32AA" w14:textId="7BF3913E" w:rsidR="00353BD1" w:rsidDel="00CD516C" w:rsidRDefault="0084246F">
      <w:pPr>
        <w:adjustRightInd w:val="0"/>
        <w:snapToGrid w:val="0"/>
        <w:spacing w:line="360" w:lineRule="auto"/>
        <w:ind w:firstLineChars="200" w:firstLine="480"/>
        <w:rPr>
          <w:rFonts w:ascii="宋体" w:hAnsi="宋体" w:cs="Arial"/>
          <w:sz w:val="24"/>
        </w:rPr>
      </w:pPr>
      <w:r w:rsidRPr="0084246F" w:rsidDel="00CD516C">
        <w:rPr>
          <w:rFonts w:ascii="宋体" w:hAnsi="宋体" w:cs="Arial" w:hint="eastAsia"/>
          <w:sz w:val="24"/>
        </w:rPr>
        <w:t>如法律法规或监管机构以后对投资比例要求有变更的，基金管理人在履行适当程序后，可以做出相应调整。</w:t>
      </w:r>
    </w:p>
    <w:p w14:paraId="5793A17D" w14:textId="6575C863" w:rsidR="00353BD1" w:rsidDel="00CD516C" w:rsidRDefault="00064D22">
      <w:pPr>
        <w:adjustRightInd w:val="0"/>
        <w:snapToGrid w:val="0"/>
        <w:spacing w:line="360" w:lineRule="auto"/>
        <w:ind w:firstLineChars="200" w:firstLine="480"/>
        <w:rPr>
          <w:rFonts w:ascii="宋体" w:hAnsi="宋体"/>
          <w:sz w:val="24"/>
        </w:rPr>
      </w:pPr>
      <w:r w:rsidDel="00CD516C">
        <w:rPr>
          <w:rFonts w:ascii="宋体" w:hAnsi="宋体" w:hint="eastAsia"/>
          <w:sz w:val="24"/>
        </w:rPr>
        <w:t>（二）基金托管人根据有关法律法规的规定及《基金合同》的约定，对基金投资、融资比例进行监督。基金托管人按下述比例和调整期限进行监督：</w:t>
      </w:r>
    </w:p>
    <w:p w14:paraId="2C5EBD31" w14:textId="4B8332F6" w:rsidR="0084246F" w:rsidRPr="0084246F" w:rsidDel="00CD516C" w:rsidRDefault="0084246F" w:rsidP="0084246F">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1、</w:t>
      </w:r>
      <w:r w:rsidRPr="0084246F" w:rsidDel="00CD516C">
        <w:rPr>
          <w:rFonts w:ascii="宋体" w:hAnsi="宋体" w:cs="Arial" w:hint="eastAsia"/>
          <w:sz w:val="24"/>
        </w:rPr>
        <w:t>权益类资产、可转换债券与可交换债券的合计投资比例占基金资产的比例为10%-30%（其中投资于</w:t>
      </w:r>
      <w:r w:rsidR="002D37A3" w:rsidRPr="002D37A3">
        <w:rPr>
          <w:rFonts w:ascii="宋体" w:hAnsi="宋体" w:cs="Arial" w:hint="eastAsia"/>
          <w:sz w:val="24"/>
        </w:rPr>
        <w:t>境内股票占基金资产比例不低于10%，</w:t>
      </w:r>
      <w:r w:rsidRPr="0084246F" w:rsidDel="00CD516C">
        <w:rPr>
          <w:rFonts w:ascii="宋体" w:hAnsi="宋体" w:cs="Arial" w:hint="eastAsia"/>
          <w:sz w:val="24"/>
        </w:rPr>
        <w:t>投资于</w:t>
      </w:r>
      <w:r w:rsidRPr="0084246F" w:rsidDel="00CD516C">
        <w:rPr>
          <w:rFonts w:ascii="宋体" w:hAnsi="宋体" w:cs="Arial" w:hint="eastAsia"/>
          <w:sz w:val="24"/>
        </w:rPr>
        <w:t>港股通标的股票的比例不得超过股票资产的50%），其中权益类资产包括股票、股票型基金、混合型基金（混合型基金指基金合同中明确约定股票投资占基金资产的比例</w:t>
      </w:r>
      <w:r w:rsidR="00F9375D" w:rsidDel="00CD516C">
        <w:rPr>
          <w:rFonts w:hint="eastAsia"/>
          <w:bCs/>
          <w:sz w:val="24"/>
        </w:rPr>
        <w:t>不低于</w:t>
      </w:r>
      <w:r w:rsidR="00F9375D" w:rsidDel="00CD516C">
        <w:rPr>
          <w:bCs/>
          <w:sz w:val="24"/>
        </w:rPr>
        <w:t>60%</w:t>
      </w:r>
      <w:r w:rsidRPr="0084246F" w:rsidDel="00CD516C">
        <w:rPr>
          <w:rFonts w:ascii="宋体" w:hAnsi="宋体" w:cs="Arial" w:hint="eastAsia"/>
          <w:sz w:val="24"/>
        </w:rPr>
        <w:t>或者最近4个季度披露的股票投资占基金资产的比例均</w:t>
      </w:r>
      <w:r w:rsidR="00F9375D" w:rsidDel="00CD516C">
        <w:rPr>
          <w:rFonts w:hint="eastAsia"/>
          <w:bCs/>
          <w:sz w:val="24"/>
        </w:rPr>
        <w:t>不低于</w:t>
      </w:r>
      <w:r w:rsidR="00F9375D" w:rsidDel="00CD516C">
        <w:rPr>
          <w:bCs/>
          <w:sz w:val="24"/>
        </w:rPr>
        <w:t>60%</w:t>
      </w:r>
      <w:r w:rsidRPr="0084246F" w:rsidDel="00CD516C">
        <w:rPr>
          <w:rFonts w:ascii="宋体" w:hAnsi="宋体" w:cs="Arial" w:hint="eastAsia"/>
          <w:sz w:val="24"/>
        </w:rPr>
        <w:t>的混合型基金）；同业存单投资占基金资产的比例不超过20%；</w:t>
      </w:r>
    </w:p>
    <w:p w14:paraId="498CCF1A" w14:textId="4DA40552" w:rsidR="0084246F" w:rsidRPr="0084246F" w:rsidDel="00CD516C" w:rsidRDefault="001F61C4" w:rsidP="0084246F">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2、</w:t>
      </w:r>
      <w:r w:rsidR="0084246F" w:rsidRPr="0084246F" w:rsidDel="00CD516C">
        <w:rPr>
          <w:rFonts w:ascii="宋体" w:hAnsi="宋体" w:cs="Arial" w:hint="eastAsia"/>
          <w:sz w:val="24"/>
        </w:rPr>
        <w:t>投资于经中国证监会依法核准或注册的公开募集证券投资基金的比例不超过基金资产净值的10%（因证券/期货市场波动、上市公司/证券发行人合并、基金规模变动等基金管理人之外的因素致使基金投资比例不符合本条规定投资比例的，基金管理人应当在20个交易日内进行调整，但中国证监会另有规定的除外，法律法规另有规定的从其规定）；针对基金投资，本基金可投资于全市场的股票型ETF及本基金管理人所管理的股票型基金、计入权益类资产的混合型基金（不包括除ETF外的QDII基金），不可投资于货币市场基金、香港互认基金、基金中基金、其他投资范围包含基金的基金和本基金基金经理管理的其他基金；</w:t>
      </w:r>
    </w:p>
    <w:p w14:paraId="39F1EB2B" w14:textId="468CE4CD" w:rsidR="0084246F" w:rsidRPr="0084246F" w:rsidDel="00CD516C" w:rsidRDefault="001F61C4" w:rsidP="0084246F">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3、</w:t>
      </w:r>
      <w:r w:rsidR="0084246F" w:rsidRPr="0084246F" w:rsidDel="00CD516C">
        <w:rPr>
          <w:rFonts w:ascii="宋体" w:hAnsi="宋体" w:cs="Arial" w:hint="eastAsia"/>
          <w:sz w:val="24"/>
        </w:rPr>
        <w:t>每个交易日日终在扣除国债期货、股指期货、股票期权合约需缴纳的交易保证金后，现金或到期日在一年以内的政府债券不低于基金资产净值的5%，其中现金不包括结算备付金、存出保证金和应收申购款等；</w:t>
      </w:r>
    </w:p>
    <w:p w14:paraId="10D7987B" w14:textId="0BCF7C70" w:rsidR="0084246F" w:rsidRPr="0084246F" w:rsidDel="00CD516C" w:rsidRDefault="001F61C4" w:rsidP="0084246F">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4、</w:t>
      </w:r>
      <w:r w:rsidR="0084246F" w:rsidRPr="0084246F" w:rsidDel="00CD516C">
        <w:rPr>
          <w:rFonts w:ascii="宋体" w:hAnsi="宋体" w:cs="Arial" w:hint="eastAsia"/>
          <w:sz w:val="24"/>
        </w:rPr>
        <w:t>本基金持有一家公司发行的证券（不含本基金所投资的基金份额），其市值（同一家公司在境内和香港同时上市的A+H股合并计算）不超过基金资产净值的10%；</w:t>
      </w:r>
    </w:p>
    <w:p w14:paraId="3A016194" w14:textId="1F1DAAA2" w:rsidR="0084246F" w:rsidRPr="0084246F" w:rsidDel="00CD516C" w:rsidRDefault="001F61C4" w:rsidP="0084246F">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5、</w:t>
      </w:r>
      <w:r w:rsidR="0084246F" w:rsidRPr="0084246F" w:rsidDel="00CD516C">
        <w:rPr>
          <w:rFonts w:ascii="宋体" w:hAnsi="宋体" w:cs="Arial" w:hint="eastAsia"/>
          <w:sz w:val="24"/>
        </w:rPr>
        <w:t>本基金管理人管理的</w:t>
      </w:r>
      <w:r w:rsidR="00E32BE8" w:rsidRPr="00E50F8F" w:rsidDel="00CD516C">
        <w:rPr>
          <w:rFonts w:ascii="宋体" w:hAnsi="宋体" w:cs="Arial" w:hint="eastAsia"/>
          <w:sz w:val="24"/>
        </w:rPr>
        <w:t>且在本基金托管人处托管的</w:t>
      </w:r>
      <w:r w:rsidR="0084246F" w:rsidRPr="0084246F" w:rsidDel="00CD516C">
        <w:rPr>
          <w:rFonts w:ascii="宋体" w:hAnsi="宋体" w:cs="Arial" w:hint="eastAsia"/>
          <w:sz w:val="24"/>
        </w:rPr>
        <w:t>全部基金持有一家公司发行的证券（不含本基金所投资的基金份额且同一家公司在境内和香港同时上市的</w:t>
      </w:r>
      <w:r w:rsidR="0084246F" w:rsidRPr="0084246F" w:rsidDel="00CD516C">
        <w:rPr>
          <w:rFonts w:ascii="宋体" w:hAnsi="宋体" w:cs="Arial" w:hint="eastAsia"/>
          <w:sz w:val="24"/>
        </w:rPr>
        <w:lastRenderedPageBreak/>
        <w:t>A+H股合并计算），不超过该证券的10%；</w:t>
      </w:r>
    </w:p>
    <w:p w14:paraId="62093BC3" w14:textId="65857307" w:rsidR="0084246F" w:rsidRPr="0084246F" w:rsidDel="00CD516C" w:rsidRDefault="001F61C4" w:rsidP="0084246F">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6、</w:t>
      </w:r>
      <w:r w:rsidR="0084246F" w:rsidRPr="0084246F" w:rsidDel="00CD516C">
        <w:rPr>
          <w:rFonts w:ascii="宋体" w:hAnsi="宋体" w:cs="Arial" w:hint="eastAsia"/>
          <w:sz w:val="24"/>
        </w:rPr>
        <w:t>本基金投资于同一原始权益人的各类资产支持证券的比例，不得超过基金资产净值的10%；</w:t>
      </w:r>
    </w:p>
    <w:p w14:paraId="17468F3E" w14:textId="7974BC2E" w:rsidR="0084246F" w:rsidRPr="0084246F" w:rsidDel="00CD516C" w:rsidRDefault="001F61C4" w:rsidP="0084246F">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7、</w:t>
      </w:r>
      <w:r w:rsidR="0084246F" w:rsidRPr="0084246F" w:rsidDel="00CD516C">
        <w:rPr>
          <w:rFonts w:ascii="宋体" w:hAnsi="宋体" w:cs="Arial" w:hint="eastAsia"/>
          <w:sz w:val="24"/>
        </w:rPr>
        <w:t>本基金持有的全部资产支持证券，其市值不得超过基金资产净值的20%；</w:t>
      </w:r>
    </w:p>
    <w:p w14:paraId="08F20A7A" w14:textId="42389C18" w:rsidR="0084246F" w:rsidRPr="0084246F" w:rsidDel="00CD516C" w:rsidRDefault="001F61C4" w:rsidP="0084246F">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8、</w:t>
      </w:r>
      <w:r w:rsidR="0084246F" w:rsidRPr="0084246F" w:rsidDel="00CD516C">
        <w:rPr>
          <w:rFonts w:ascii="宋体" w:hAnsi="宋体" w:cs="Arial" w:hint="eastAsia"/>
          <w:sz w:val="24"/>
        </w:rPr>
        <w:t>本基金持有的同一（指同一信用级别）资产支持证券的比例，不得超过该资产支持证券规模的10%；</w:t>
      </w:r>
    </w:p>
    <w:p w14:paraId="4888B2B3" w14:textId="0F91BC85" w:rsidR="0084246F" w:rsidRPr="0084246F" w:rsidDel="00CD516C" w:rsidRDefault="001F61C4" w:rsidP="0084246F">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9、</w:t>
      </w:r>
      <w:r w:rsidR="0084246F" w:rsidRPr="0084246F" w:rsidDel="00CD516C">
        <w:rPr>
          <w:rFonts w:ascii="宋体" w:hAnsi="宋体" w:cs="Arial" w:hint="eastAsia"/>
          <w:sz w:val="24"/>
        </w:rPr>
        <w:t>本基金管理人管理的</w:t>
      </w:r>
      <w:r w:rsidR="00E32BE8" w:rsidRPr="00E50F8F" w:rsidDel="00CD516C">
        <w:rPr>
          <w:rFonts w:ascii="宋体" w:hAnsi="宋体" w:cs="Arial" w:hint="eastAsia"/>
          <w:sz w:val="24"/>
        </w:rPr>
        <w:t>且在本基金托管人处托管的</w:t>
      </w:r>
      <w:r w:rsidR="0084246F" w:rsidRPr="0084246F" w:rsidDel="00CD516C">
        <w:rPr>
          <w:rFonts w:ascii="宋体" w:hAnsi="宋体" w:cs="Arial" w:hint="eastAsia"/>
          <w:sz w:val="24"/>
        </w:rPr>
        <w:t>全部基金投资于同一原始权益人的各类资产支持证券，不得超过其各类资产支持证券合计规模的10%；</w:t>
      </w:r>
    </w:p>
    <w:p w14:paraId="3F3C68B3" w14:textId="7D7BEF9F" w:rsidR="0084246F" w:rsidRPr="0084246F" w:rsidDel="00CD516C" w:rsidRDefault="0084246F" w:rsidP="0084246F">
      <w:pPr>
        <w:adjustRightInd w:val="0"/>
        <w:snapToGrid w:val="0"/>
        <w:spacing w:line="360" w:lineRule="auto"/>
        <w:ind w:firstLineChars="200" w:firstLine="480"/>
        <w:rPr>
          <w:rFonts w:ascii="宋体" w:hAnsi="宋体" w:cs="Arial"/>
          <w:sz w:val="24"/>
        </w:rPr>
      </w:pPr>
      <w:r w:rsidRPr="0084246F" w:rsidDel="00CD516C">
        <w:rPr>
          <w:rFonts w:ascii="宋体" w:hAnsi="宋体" w:cs="Arial" w:hint="eastAsia"/>
          <w:sz w:val="24"/>
        </w:rPr>
        <w:t>10</w:t>
      </w:r>
      <w:r w:rsidR="001F61C4" w:rsidDel="00CD516C">
        <w:rPr>
          <w:rFonts w:ascii="宋体" w:hAnsi="宋体" w:cs="Arial" w:hint="eastAsia"/>
          <w:sz w:val="24"/>
        </w:rPr>
        <w:t>、</w:t>
      </w:r>
      <w:r w:rsidRPr="0084246F" w:rsidDel="00CD516C">
        <w:rPr>
          <w:rFonts w:ascii="宋体" w:hAnsi="宋体" w:cs="Arial" w:hint="eastAsia"/>
          <w:sz w:val="24"/>
        </w:rPr>
        <w:t>基金财产参与股票发行申购，本基金所申报的金额不超过本基金的总资产，本基金所申报的股票数量不超过拟发行股票公司本次发行股票的总量；</w:t>
      </w:r>
    </w:p>
    <w:p w14:paraId="336F1928" w14:textId="1ACA3E85" w:rsidR="0084246F" w:rsidRPr="0084246F" w:rsidDel="00CD516C" w:rsidRDefault="0084246F" w:rsidP="004F573E">
      <w:pPr>
        <w:adjustRightInd w:val="0"/>
        <w:snapToGrid w:val="0"/>
        <w:spacing w:line="360" w:lineRule="auto"/>
        <w:ind w:firstLineChars="200" w:firstLine="480"/>
        <w:rPr>
          <w:rFonts w:ascii="宋体" w:hAnsi="宋体" w:cs="Arial"/>
          <w:sz w:val="24"/>
        </w:rPr>
      </w:pPr>
      <w:r w:rsidRPr="0084246F" w:rsidDel="00CD516C">
        <w:rPr>
          <w:rFonts w:ascii="宋体" w:hAnsi="宋体" w:cs="Arial" w:hint="eastAsia"/>
          <w:sz w:val="24"/>
        </w:rPr>
        <w:t>11</w:t>
      </w:r>
      <w:r w:rsidR="001F61C4" w:rsidDel="00CD516C">
        <w:rPr>
          <w:rFonts w:ascii="宋体" w:hAnsi="宋体" w:cs="Arial" w:hint="eastAsia"/>
          <w:sz w:val="24"/>
        </w:rPr>
        <w:t>、</w:t>
      </w:r>
      <w:r w:rsidRPr="0084246F" w:rsidDel="00CD516C">
        <w:rPr>
          <w:rFonts w:ascii="宋体" w:hAnsi="宋体" w:cs="Arial" w:hint="eastAsia"/>
          <w:sz w:val="24"/>
        </w:rPr>
        <w:t>本基金参与股指期货交易，应当遵守下列要求：</w:t>
      </w:r>
    </w:p>
    <w:p w14:paraId="4824EE32" w14:textId="2D544420" w:rsidR="0084246F" w:rsidRPr="0084246F" w:rsidDel="00CD516C" w:rsidRDefault="0084246F" w:rsidP="0084246F">
      <w:pPr>
        <w:adjustRightInd w:val="0"/>
        <w:snapToGrid w:val="0"/>
        <w:spacing w:line="360" w:lineRule="auto"/>
        <w:ind w:firstLineChars="200" w:firstLine="480"/>
        <w:rPr>
          <w:rFonts w:ascii="宋体" w:hAnsi="宋体" w:cs="Arial"/>
          <w:sz w:val="24"/>
        </w:rPr>
      </w:pPr>
      <w:r w:rsidRPr="0084246F" w:rsidDel="00CD516C">
        <w:rPr>
          <w:rFonts w:ascii="宋体" w:hAnsi="宋体" w:cs="Arial" w:hint="eastAsia"/>
          <w:sz w:val="24"/>
        </w:rPr>
        <w:t>在任何交易日日终，持有的买入股指期货合约价值，不得超过基金资产净值的10%；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在任何交易日日终，持有的卖出股指期货合约价值不得超过基金持有的股票总市值的20%；在任何交易日内交易（不包括平仓）的股指期货合约的成交金额不得超过上一交易日基金资产净值的20%；本基金所持有的股票市值和买入、卖出股指期货合约价值合计（轧差计算）应当符合基金合同关于股票投资比例的有关约定；</w:t>
      </w:r>
    </w:p>
    <w:p w14:paraId="4BD2C5C3" w14:textId="2718216D" w:rsidR="0084246F" w:rsidRPr="0084246F" w:rsidDel="00CD516C" w:rsidRDefault="001F61C4" w:rsidP="0084246F">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1</w:t>
      </w:r>
      <w:r w:rsidR="004F573E" w:rsidDel="00CD516C">
        <w:rPr>
          <w:rFonts w:ascii="宋体" w:hAnsi="宋体" w:cs="Arial"/>
          <w:sz w:val="24"/>
        </w:rPr>
        <w:t>2</w:t>
      </w:r>
      <w:r w:rsidDel="00CD516C">
        <w:rPr>
          <w:rFonts w:ascii="宋体" w:hAnsi="宋体" w:cs="Arial" w:hint="eastAsia"/>
          <w:sz w:val="24"/>
        </w:rPr>
        <w:t>、</w:t>
      </w:r>
      <w:r w:rsidR="0084246F" w:rsidRPr="0084246F" w:rsidDel="00CD516C">
        <w:rPr>
          <w:rFonts w:ascii="宋体" w:hAnsi="宋体" w:cs="Arial" w:hint="eastAsia"/>
          <w:sz w:val="24"/>
        </w:rPr>
        <w:t>本基金参与国债期货交易，应当遵守下列要求：</w:t>
      </w:r>
    </w:p>
    <w:p w14:paraId="6FF99C42" w14:textId="1C8B4EB0" w:rsidR="0084246F" w:rsidRPr="0084246F" w:rsidDel="00CD516C" w:rsidRDefault="0084246F" w:rsidP="0084246F">
      <w:pPr>
        <w:adjustRightInd w:val="0"/>
        <w:snapToGrid w:val="0"/>
        <w:spacing w:line="360" w:lineRule="auto"/>
        <w:ind w:firstLineChars="200" w:firstLine="480"/>
        <w:rPr>
          <w:rFonts w:ascii="宋体" w:hAnsi="宋体" w:cs="Arial"/>
          <w:sz w:val="24"/>
        </w:rPr>
      </w:pPr>
      <w:r w:rsidRPr="0084246F" w:rsidDel="00CD516C">
        <w:rPr>
          <w:rFonts w:ascii="宋体" w:hAnsi="宋体" w:cs="Arial" w:hint="eastAsia"/>
          <w:sz w:val="24"/>
        </w:rPr>
        <w:t>在任何交易日日终，持有的买入国债期货合约价值，不得超过基金资产净值的15%；在任何交易日日终，持有的卖出国债期货合约价值不得超过基金持有的债券总市值的30%；本基金所持有的债券（不含到期日在一年以内的政府债券）市值和买入、卖出国债期货合约价值，合计（轧差计算）应当符合基金合同关于债券投资比例的有关约定；在任何交易日内交易（不包括平仓）的国债期货合约的成交金额不得超过上一交易日基金资产净值的30%；</w:t>
      </w:r>
    </w:p>
    <w:p w14:paraId="57D739CB" w14:textId="1157B292" w:rsidR="0084246F" w:rsidRPr="0084246F" w:rsidDel="00CD516C" w:rsidRDefault="001F61C4" w:rsidP="0084246F">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1</w:t>
      </w:r>
      <w:r w:rsidR="00C3597D" w:rsidDel="00CD516C">
        <w:rPr>
          <w:rFonts w:ascii="宋体" w:hAnsi="宋体" w:cs="Arial"/>
          <w:sz w:val="24"/>
        </w:rPr>
        <w:t>3</w:t>
      </w:r>
      <w:r w:rsidDel="00CD516C">
        <w:rPr>
          <w:rFonts w:ascii="宋体" w:hAnsi="宋体" w:cs="Arial" w:hint="eastAsia"/>
          <w:sz w:val="24"/>
        </w:rPr>
        <w:t>、</w:t>
      </w:r>
      <w:r w:rsidR="0084246F" w:rsidRPr="0084246F" w:rsidDel="00CD516C">
        <w:rPr>
          <w:rFonts w:ascii="宋体" w:hAnsi="宋体" w:cs="Arial" w:hint="eastAsia"/>
          <w:sz w:val="24"/>
        </w:rPr>
        <w:t>本基金参与股票期权交易的，应当符合下列风险控制指标要求：基金因未平仓的期权合约支付和收取的权利金总额不得超过基金资产净值的10%；未平仓的期权合约面值不得超过基金资产净值的20%。其中，合约面值按照行权价乘以合约乘数计算；</w:t>
      </w:r>
    </w:p>
    <w:p w14:paraId="76D11242" w14:textId="2E7E0FEF" w:rsidR="0084246F" w:rsidRPr="0084246F" w:rsidDel="00CD516C" w:rsidRDefault="001F61C4" w:rsidP="0084246F">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lastRenderedPageBreak/>
        <w:t>1</w:t>
      </w:r>
      <w:r w:rsidR="00C3597D" w:rsidDel="00CD516C">
        <w:rPr>
          <w:rFonts w:ascii="宋体" w:hAnsi="宋体" w:cs="Arial"/>
          <w:sz w:val="24"/>
        </w:rPr>
        <w:t>4</w:t>
      </w:r>
      <w:r w:rsidDel="00CD516C">
        <w:rPr>
          <w:rFonts w:ascii="宋体" w:hAnsi="宋体" w:cs="Arial" w:hint="eastAsia"/>
          <w:sz w:val="24"/>
        </w:rPr>
        <w:t>、</w:t>
      </w:r>
      <w:r w:rsidR="0084246F" w:rsidRPr="0084246F" w:rsidDel="00CD516C">
        <w:rPr>
          <w:rFonts w:ascii="宋体" w:hAnsi="宋体" w:cs="Arial" w:hint="eastAsia"/>
          <w:sz w:val="24"/>
        </w:rPr>
        <w:t>本基金管理人管理的</w:t>
      </w:r>
      <w:r w:rsidR="00871162" w:rsidRPr="00E50F8F" w:rsidDel="00CD516C">
        <w:rPr>
          <w:rFonts w:ascii="宋体" w:hAnsi="宋体" w:cs="Arial" w:hint="eastAsia"/>
          <w:sz w:val="24"/>
        </w:rPr>
        <w:t>且在本基金托管人处托管的</w:t>
      </w:r>
      <w:r w:rsidR="0084246F" w:rsidRPr="0084246F" w:rsidDel="00CD516C">
        <w:rPr>
          <w:rFonts w:ascii="宋体" w:hAnsi="宋体" w:cs="Arial" w:hint="eastAsia"/>
          <w:sz w:val="24"/>
        </w:rPr>
        <w:t>全部开放式基金持有一家上市公司发行的可流通股票，不得超过该上市公司可流通股票的15%；本基金管理人管理的</w:t>
      </w:r>
      <w:r w:rsidR="00871162" w:rsidRPr="00E50F8F" w:rsidDel="00CD516C">
        <w:rPr>
          <w:rFonts w:ascii="宋体" w:hAnsi="宋体" w:cs="Arial" w:hint="eastAsia"/>
          <w:sz w:val="24"/>
        </w:rPr>
        <w:t>且在本基金托管人处托管的</w:t>
      </w:r>
      <w:r w:rsidR="0084246F" w:rsidRPr="0084246F" w:rsidDel="00CD516C">
        <w:rPr>
          <w:rFonts w:ascii="宋体" w:hAnsi="宋体" w:cs="Arial" w:hint="eastAsia"/>
          <w:sz w:val="24"/>
        </w:rPr>
        <w:t>全部投资组合持有一家上市公司发行的可流通股票，不得超过该上市公司可流通股票的30%；完全按照有关指数的构成比例进行证券投资的开放式基金以及中国证监会认定的特殊投资组合可不受前述比例限制；</w:t>
      </w:r>
    </w:p>
    <w:p w14:paraId="4DB6754C" w14:textId="0E5D3AF5" w:rsidR="0084246F" w:rsidRPr="0084246F" w:rsidDel="00CD516C" w:rsidRDefault="001F61C4" w:rsidP="0084246F">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1</w:t>
      </w:r>
      <w:r w:rsidR="00C3597D" w:rsidDel="00CD516C">
        <w:rPr>
          <w:rFonts w:ascii="宋体" w:hAnsi="宋体" w:cs="Arial"/>
          <w:sz w:val="24"/>
        </w:rPr>
        <w:t>5</w:t>
      </w:r>
      <w:r w:rsidDel="00CD516C">
        <w:rPr>
          <w:rFonts w:ascii="宋体" w:hAnsi="宋体" w:cs="Arial" w:hint="eastAsia"/>
          <w:sz w:val="24"/>
        </w:rPr>
        <w:t>、</w:t>
      </w:r>
      <w:r w:rsidR="0084246F" w:rsidRPr="0084246F" w:rsidDel="00CD516C">
        <w:rPr>
          <w:rFonts w:ascii="宋体" w:hAnsi="宋体" w:cs="Arial" w:hint="eastAsia"/>
          <w:sz w:val="24"/>
        </w:rPr>
        <w:t>本基金主动投资于流动性受限资产（含封闭运作基金、定期开放基金等）的市值合计不得超过该基金资产净值的15%；因证券市场波动、上市公司股票停牌、基金规模变动等基金管理人之外的因素致使基金不符合该比例限制的，基金管理人不得主动新增流动性受限资产的投资；</w:t>
      </w:r>
    </w:p>
    <w:p w14:paraId="0FE21059" w14:textId="665A305A" w:rsidR="0084246F" w:rsidRPr="0084246F" w:rsidDel="00CD516C" w:rsidRDefault="001F61C4" w:rsidP="0084246F">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1</w:t>
      </w:r>
      <w:r w:rsidR="00C3597D" w:rsidDel="00CD516C">
        <w:rPr>
          <w:rFonts w:ascii="宋体" w:hAnsi="宋体" w:cs="Arial"/>
          <w:sz w:val="24"/>
        </w:rPr>
        <w:t>6</w:t>
      </w:r>
      <w:r w:rsidDel="00CD516C">
        <w:rPr>
          <w:rFonts w:ascii="宋体" w:hAnsi="宋体" w:cs="Arial" w:hint="eastAsia"/>
          <w:sz w:val="24"/>
        </w:rPr>
        <w:t>、</w:t>
      </w:r>
      <w:r w:rsidR="0084246F" w:rsidRPr="0084246F" w:rsidDel="00CD516C">
        <w:rPr>
          <w:rFonts w:ascii="宋体" w:hAnsi="宋体" w:cs="Arial" w:hint="eastAsia"/>
          <w:sz w:val="24"/>
        </w:rPr>
        <w:t>本基金总资产不得超过基金净资产的140%；</w:t>
      </w:r>
    </w:p>
    <w:p w14:paraId="6E99E9B1" w14:textId="5465FA6F" w:rsidR="0084246F" w:rsidRPr="0084246F" w:rsidDel="00CD516C" w:rsidRDefault="004F573E" w:rsidP="0084246F">
      <w:pPr>
        <w:adjustRightInd w:val="0"/>
        <w:snapToGrid w:val="0"/>
        <w:spacing w:line="360" w:lineRule="auto"/>
        <w:ind w:firstLineChars="200" w:firstLine="480"/>
        <w:rPr>
          <w:rFonts w:ascii="宋体" w:hAnsi="宋体" w:cs="Arial"/>
          <w:sz w:val="24"/>
        </w:rPr>
      </w:pPr>
      <w:r w:rsidDel="00CD516C">
        <w:rPr>
          <w:rFonts w:ascii="宋体" w:hAnsi="宋体" w:cs="Arial"/>
          <w:sz w:val="24"/>
        </w:rPr>
        <w:t>1</w:t>
      </w:r>
      <w:r w:rsidR="00C3597D" w:rsidDel="00CD516C">
        <w:rPr>
          <w:rFonts w:ascii="宋体" w:hAnsi="宋体" w:cs="Arial"/>
          <w:sz w:val="24"/>
        </w:rPr>
        <w:t>7</w:t>
      </w:r>
      <w:r w:rsidR="001F61C4" w:rsidDel="00CD516C">
        <w:rPr>
          <w:rFonts w:ascii="宋体" w:hAnsi="宋体" w:cs="Arial" w:hint="eastAsia"/>
          <w:sz w:val="24"/>
        </w:rPr>
        <w:t>、</w:t>
      </w:r>
      <w:r w:rsidR="0084246F" w:rsidRPr="0084246F" w:rsidDel="00CD516C">
        <w:rPr>
          <w:rFonts w:ascii="宋体" w:hAnsi="宋体" w:cs="Arial" w:hint="eastAsia"/>
          <w:sz w:val="24"/>
        </w:rPr>
        <w:t>本基金投资存托凭证的比例限制依照境内上市交易的股票执行，与境内上市交易的股票合并计算；</w:t>
      </w:r>
    </w:p>
    <w:p w14:paraId="21A71075" w14:textId="59853BFF" w:rsidR="0084246F" w:rsidRPr="0084246F" w:rsidDel="00CD516C" w:rsidRDefault="00C3597D" w:rsidP="0084246F">
      <w:pPr>
        <w:adjustRightInd w:val="0"/>
        <w:snapToGrid w:val="0"/>
        <w:spacing w:line="360" w:lineRule="auto"/>
        <w:ind w:firstLineChars="200" w:firstLine="480"/>
        <w:rPr>
          <w:rFonts w:ascii="宋体" w:hAnsi="宋体" w:cs="Arial"/>
          <w:sz w:val="24"/>
        </w:rPr>
      </w:pPr>
      <w:r w:rsidDel="00CD516C">
        <w:rPr>
          <w:rFonts w:ascii="宋体" w:hAnsi="宋体" w:cs="Arial"/>
          <w:sz w:val="24"/>
        </w:rPr>
        <w:t>18</w:t>
      </w:r>
      <w:r w:rsidR="001F61C4" w:rsidDel="00CD516C">
        <w:rPr>
          <w:rFonts w:ascii="宋体" w:hAnsi="宋体" w:cs="Arial" w:hint="eastAsia"/>
          <w:sz w:val="24"/>
        </w:rPr>
        <w:t>、</w:t>
      </w:r>
      <w:r w:rsidR="0084246F" w:rsidRPr="0084246F" w:rsidDel="00CD516C">
        <w:rPr>
          <w:rFonts w:ascii="宋体" w:hAnsi="宋体" w:cs="Arial" w:hint="eastAsia"/>
          <w:sz w:val="24"/>
        </w:rPr>
        <w:t>除ETF联接基金外，本基金管理人管理的全部证券投资基金持有单只基金不得超过被投资基金净资产的20%，被投资基金净资产规模以最近定期报告披露的规模为准（因证券/期货市场波动、上市公司/证券发行人合并、基金规模变动等基金管理人之外的因素致使基金投资比例不符合本条规定投资比例的，基金管理人应当在20个交易日内进行调整，但中国证监会另有规定的除外，法律法规另有规定的从其规定）；</w:t>
      </w:r>
    </w:p>
    <w:p w14:paraId="212F1460" w14:textId="5E02BE63" w:rsidR="0084246F" w:rsidRPr="0084246F" w:rsidDel="00CD516C" w:rsidRDefault="00C3597D" w:rsidP="0084246F">
      <w:pPr>
        <w:adjustRightInd w:val="0"/>
        <w:snapToGrid w:val="0"/>
        <w:spacing w:line="360" w:lineRule="auto"/>
        <w:ind w:firstLineChars="200" w:firstLine="480"/>
        <w:rPr>
          <w:rFonts w:ascii="宋体" w:hAnsi="宋体" w:cs="Arial"/>
          <w:sz w:val="24"/>
        </w:rPr>
      </w:pPr>
      <w:r w:rsidDel="00CD516C">
        <w:rPr>
          <w:rFonts w:ascii="宋体" w:hAnsi="宋体" w:cs="Arial"/>
          <w:sz w:val="24"/>
        </w:rPr>
        <w:t>19</w:t>
      </w:r>
      <w:r w:rsidR="001F61C4" w:rsidDel="00CD516C">
        <w:rPr>
          <w:rFonts w:ascii="宋体" w:hAnsi="宋体" w:cs="Arial" w:hint="eastAsia"/>
          <w:sz w:val="24"/>
        </w:rPr>
        <w:t>、</w:t>
      </w:r>
      <w:r w:rsidR="0084246F" w:rsidRPr="0084246F" w:rsidDel="00CD516C">
        <w:rPr>
          <w:rFonts w:ascii="宋体" w:hAnsi="宋体" w:cs="Arial" w:hint="eastAsia"/>
          <w:sz w:val="24"/>
        </w:rPr>
        <w:t>本基金投资其他基金，被投资基金的运作期限应当不少于1年、最近定期报告披露的基金净资产应不低于1亿元；</w:t>
      </w:r>
    </w:p>
    <w:p w14:paraId="262D5F5F" w14:textId="013FBCC7" w:rsidR="0084246F" w:rsidRPr="0084246F" w:rsidDel="00CD516C" w:rsidRDefault="00C3597D" w:rsidP="0084246F">
      <w:pPr>
        <w:adjustRightInd w:val="0"/>
        <w:snapToGrid w:val="0"/>
        <w:spacing w:line="360" w:lineRule="auto"/>
        <w:ind w:firstLineChars="200" w:firstLine="480"/>
        <w:rPr>
          <w:rFonts w:ascii="宋体" w:hAnsi="宋体" w:cs="Arial"/>
          <w:sz w:val="24"/>
        </w:rPr>
      </w:pPr>
      <w:r w:rsidDel="00CD516C">
        <w:rPr>
          <w:rFonts w:ascii="宋体" w:hAnsi="宋体" w:cs="Arial"/>
          <w:sz w:val="24"/>
        </w:rPr>
        <w:t>20</w:t>
      </w:r>
      <w:r w:rsidR="001F61C4" w:rsidDel="00CD516C">
        <w:rPr>
          <w:rFonts w:ascii="宋体" w:hAnsi="宋体" w:cs="Arial" w:hint="eastAsia"/>
          <w:sz w:val="24"/>
        </w:rPr>
        <w:t>、</w:t>
      </w:r>
      <w:r w:rsidR="0084246F" w:rsidRPr="0084246F" w:rsidDel="00CD516C">
        <w:rPr>
          <w:rFonts w:ascii="宋体" w:hAnsi="宋体" w:cs="Arial" w:hint="eastAsia"/>
          <w:sz w:val="24"/>
        </w:rPr>
        <w:t>法律法规及中国证监会规定的和《基金合同》约定的其他投资限制。</w:t>
      </w:r>
    </w:p>
    <w:p w14:paraId="35B097B4" w14:textId="2B6B119D" w:rsidR="0084246F" w:rsidRPr="0084246F" w:rsidDel="00CD516C" w:rsidRDefault="0084246F" w:rsidP="0084246F">
      <w:pPr>
        <w:adjustRightInd w:val="0"/>
        <w:snapToGrid w:val="0"/>
        <w:spacing w:line="360" w:lineRule="auto"/>
        <w:ind w:firstLineChars="200" w:firstLine="480"/>
        <w:rPr>
          <w:rFonts w:ascii="宋体" w:hAnsi="宋体" w:cs="Arial"/>
          <w:sz w:val="24"/>
        </w:rPr>
      </w:pPr>
      <w:r w:rsidRPr="0084246F" w:rsidDel="00CD516C">
        <w:rPr>
          <w:rFonts w:ascii="宋体" w:hAnsi="宋体" w:cs="Arial" w:hint="eastAsia"/>
          <w:sz w:val="24"/>
        </w:rPr>
        <w:t>除上述第2、3、1</w:t>
      </w:r>
      <w:r w:rsidR="00C3597D" w:rsidDel="00CD516C">
        <w:rPr>
          <w:rFonts w:ascii="宋体" w:hAnsi="宋体" w:cs="Arial"/>
          <w:sz w:val="24"/>
        </w:rPr>
        <w:t>5</w:t>
      </w:r>
      <w:r w:rsidRPr="0084246F" w:rsidDel="00CD516C">
        <w:rPr>
          <w:rFonts w:ascii="宋体" w:hAnsi="宋体" w:cs="Arial" w:hint="eastAsia"/>
          <w:sz w:val="24"/>
        </w:rPr>
        <w:t>、</w:t>
      </w:r>
      <w:r w:rsidR="00C3597D" w:rsidDel="00CD516C">
        <w:rPr>
          <w:rFonts w:ascii="宋体" w:hAnsi="宋体" w:cs="Arial"/>
          <w:sz w:val="24"/>
        </w:rPr>
        <w:t>18</w:t>
      </w:r>
      <w:r w:rsidRPr="0084246F" w:rsidDel="00CD516C">
        <w:rPr>
          <w:rFonts w:ascii="宋体" w:hAnsi="宋体" w:cs="Arial" w:hint="eastAsia"/>
          <w:sz w:val="24"/>
        </w:rPr>
        <w:t>项规定的情形外，因证券/期货市场波动、上市公司/证券发行人合并、基金规模变动等基金管理人之外的因素致使基金投资比例不符合上述规定投资比例的，基金管理人应当在10个交易日内进行调整，但中国证监会另有规定的除外，法律法规另有规定的从其规定。</w:t>
      </w:r>
    </w:p>
    <w:p w14:paraId="52B8A636" w14:textId="7F0EEC94" w:rsidR="0084246F" w:rsidRPr="0084246F" w:rsidDel="00CD516C" w:rsidRDefault="0084246F" w:rsidP="0084246F">
      <w:pPr>
        <w:adjustRightInd w:val="0"/>
        <w:snapToGrid w:val="0"/>
        <w:spacing w:line="360" w:lineRule="auto"/>
        <w:ind w:firstLineChars="200" w:firstLine="480"/>
        <w:rPr>
          <w:rFonts w:ascii="宋体" w:hAnsi="宋体" w:cs="Arial"/>
          <w:sz w:val="24"/>
        </w:rPr>
      </w:pPr>
      <w:r w:rsidRPr="0084246F" w:rsidDel="00CD516C">
        <w:rPr>
          <w:rFonts w:ascii="宋体" w:hAnsi="宋体" w:cs="Arial" w:hint="eastAsia"/>
          <w:sz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14:paraId="74951EE5" w14:textId="09DFC953" w:rsidR="00353BD1" w:rsidDel="00CD516C" w:rsidRDefault="0084246F">
      <w:pPr>
        <w:adjustRightInd w:val="0"/>
        <w:snapToGrid w:val="0"/>
        <w:spacing w:line="360" w:lineRule="auto"/>
        <w:ind w:firstLineChars="200" w:firstLine="480"/>
        <w:rPr>
          <w:rFonts w:ascii="宋体" w:hAnsi="宋体"/>
          <w:sz w:val="24"/>
        </w:rPr>
      </w:pPr>
      <w:r w:rsidRPr="0084246F" w:rsidDel="00CD516C">
        <w:rPr>
          <w:rFonts w:ascii="宋体" w:hAnsi="宋体" w:cs="Arial" w:hint="eastAsia"/>
          <w:sz w:val="24"/>
        </w:rPr>
        <w:lastRenderedPageBreak/>
        <w:t>法律法规或监管部门取消或变更上述投资组合比例限制的，如适用本基金，经与基金托管人协商一致并履行适当程序后，本基金可不受相关限制。</w:t>
      </w:r>
    </w:p>
    <w:p w14:paraId="17CF284C" w14:textId="1F80E3EB" w:rsidR="00353BD1" w:rsidDel="00CD516C" w:rsidRDefault="00064D22">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（三）基金托管人</w:t>
      </w:r>
      <w:bookmarkStart w:id="15" w:name="OLE_LINK1"/>
      <w:r w:rsidDel="00CD516C">
        <w:rPr>
          <w:rFonts w:ascii="宋体" w:hAnsi="宋体" w:cs="Arial" w:hint="eastAsia"/>
          <w:sz w:val="24"/>
        </w:rPr>
        <w:t>根据有关法律法规的规定及《基金合同》的约定，</w:t>
      </w:r>
      <w:bookmarkEnd w:id="15"/>
      <w:r w:rsidDel="00CD516C">
        <w:rPr>
          <w:rFonts w:ascii="宋体" w:hAnsi="宋体" w:cs="Arial" w:hint="eastAsia"/>
          <w:sz w:val="24"/>
        </w:rPr>
        <w:t>对本托管协议第十五条第（九）款基金投资禁止行为通过事后监督方式进行监督。</w:t>
      </w:r>
    </w:p>
    <w:p w14:paraId="0149B977" w14:textId="47A9F49B" w:rsidR="00353BD1" w:rsidDel="00CD516C" w:rsidRDefault="00064D22">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045CB325" w14:textId="455C6063" w:rsidR="00353BD1" w:rsidDel="00CD516C" w:rsidRDefault="00064D22">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（四）基金托管人根据有关法律法规的规定及《基金合同》的约定，对基金管理人投资流通受限证券进行监督。</w:t>
      </w:r>
    </w:p>
    <w:p w14:paraId="73514CA9" w14:textId="3A8F94EE" w:rsidR="00353BD1" w:rsidDel="00CD516C" w:rsidRDefault="00064D22">
      <w:pPr>
        <w:adjustRightInd w:val="0"/>
        <w:snapToGrid w:val="0"/>
        <w:spacing w:line="360" w:lineRule="auto"/>
        <w:ind w:firstLineChars="200" w:firstLine="480"/>
        <w:rPr>
          <w:rFonts w:ascii="宋体" w:hAnsi="宋体" w:cs="Arial"/>
          <w:sz w:val="24"/>
        </w:rPr>
      </w:pPr>
      <w:r w:rsidDel="00CD516C">
        <w:rPr>
          <w:rFonts w:ascii="宋体" w:hAnsi="宋体" w:hint="eastAsia"/>
          <w:sz w:val="24"/>
        </w:rPr>
        <w:t>基金管理人投资流通受限证券，应事先根据中国证监会相关规定，明确基金投资流通受限证券的比例，</w:t>
      </w:r>
      <w:r w:rsidDel="00CD516C">
        <w:rPr>
          <w:rFonts w:ascii="宋体" w:hAnsi="宋体" w:cs="Arial" w:hint="eastAsia"/>
          <w:sz w:val="24"/>
        </w:rPr>
        <w:t>制订严格的投资决策流程和风险控制制度，防范流动性风险、法律风险和操作风险等各种风险。</w:t>
      </w:r>
    </w:p>
    <w:p w14:paraId="10F6D9E7" w14:textId="3B9F7183" w:rsidR="00353BD1" w:rsidDel="00CD516C" w:rsidRDefault="00064D22">
      <w:pPr>
        <w:adjustRightInd w:val="0"/>
        <w:snapToGrid w:val="0"/>
        <w:spacing w:line="360" w:lineRule="auto"/>
        <w:ind w:firstLineChars="200" w:firstLine="480"/>
        <w:rPr>
          <w:rFonts w:ascii="宋体" w:hAnsi="宋体"/>
          <w:sz w:val="24"/>
        </w:rPr>
      </w:pPr>
      <w:r w:rsidDel="00CD516C">
        <w:rPr>
          <w:rFonts w:ascii="宋体" w:hAnsi="宋体" w:cs="Arial" w:hint="eastAsia"/>
          <w:sz w:val="24"/>
        </w:rPr>
        <w:t>1.本基金</w:t>
      </w:r>
      <w:r w:rsidDel="00CD516C">
        <w:rPr>
          <w:rFonts w:ascii="宋体" w:hAnsi="宋体" w:hint="eastAsia"/>
          <w:sz w:val="24"/>
        </w:rPr>
        <w:t>投资的流通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14:paraId="691239B9" w14:textId="151546A2" w:rsidR="00353BD1" w:rsidDel="00CD516C" w:rsidRDefault="00064D22">
      <w:pPr>
        <w:spacing w:line="360" w:lineRule="auto"/>
        <w:ind w:firstLineChars="200" w:firstLine="480"/>
        <w:rPr>
          <w:rFonts w:ascii="宋体" w:hAnsi="宋体"/>
          <w:sz w:val="24"/>
        </w:rPr>
      </w:pPr>
      <w:r w:rsidDel="00CD516C">
        <w:rPr>
          <w:rFonts w:ascii="宋体" w:hAnsi="宋体" w:cs="Arial" w:hint="eastAsia"/>
          <w:sz w:val="24"/>
        </w:rPr>
        <w:t>本基金</w:t>
      </w:r>
      <w:r w:rsidDel="00CD516C">
        <w:rPr>
          <w:rFonts w:ascii="宋体" w:hAnsi="宋体" w:hint="eastAsia"/>
          <w:sz w:val="24"/>
        </w:rPr>
        <w:t>投资的流通受限证券限于可由中国证券登记结算有限责任公司或中央国债登记结算有限责任公司负责登记和存管，并可在证券交易所或全国银行间债券市场交易的证券。</w:t>
      </w:r>
    </w:p>
    <w:p w14:paraId="7B3D60FE" w14:textId="657EF056" w:rsidR="00353BD1" w:rsidDel="00CD516C" w:rsidRDefault="00064D22">
      <w:pPr>
        <w:adjustRightInd w:val="0"/>
        <w:snapToGrid w:val="0"/>
        <w:spacing w:line="360" w:lineRule="auto"/>
        <w:ind w:firstLineChars="200" w:firstLine="480"/>
        <w:rPr>
          <w:rFonts w:ascii="宋体" w:hAnsi="宋体"/>
          <w:sz w:val="24"/>
        </w:rPr>
      </w:pPr>
      <w:r w:rsidDel="00CD516C">
        <w:rPr>
          <w:rFonts w:ascii="宋体" w:hAnsi="宋体" w:cs="Arial" w:hint="eastAsia"/>
          <w:sz w:val="24"/>
        </w:rPr>
        <w:t>本基金</w:t>
      </w:r>
      <w:r w:rsidDel="00CD516C">
        <w:rPr>
          <w:rFonts w:ascii="宋体" w:hAnsi="宋体" w:hint="eastAsia"/>
          <w:sz w:val="24"/>
        </w:rPr>
        <w:t>投资的流通受限证券应保证登记存管在本基金名下，基金管理人负责相关工作的落实和协调，并确保基金托管人能够正常查询。因基金管理人原因产生的流通受限证券登记存管问题，造成基金托管人无法安全保管本基金资产的责任与损失，及因流通受限证券存管直接影响本基金安全的责任及损失，由基金管理人承担。</w:t>
      </w:r>
    </w:p>
    <w:p w14:paraId="7CBEFAF6" w14:textId="3D685D0B" w:rsidR="00353BD1" w:rsidDel="00CD516C" w:rsidRDefault="00064D22">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本基金</w:t>
      </w:r>
      <w:r w:rsidDel="00CD516C">
        <w:rPr>
          <w:rFonts w:ascii="宋体" w:hAnsi="宋体" w:hint="eastAsia"/>
          <w:sz w:val="24"/>
        </w:rPr>
        <w:t>投资流通受限证券，不得预付任何形式的保证金。</w:t>
      </w:r>
      <w:r w:rsidDel="00CD516C">
        <w:rPr>
          <w:rFonts w:ascii="宋体" w:hAnsi="宋体" w:cs="Arial" w:hint="eastAsia"/>
          <w:sz w:val="24"/>
        </w:rPr>
        <w:t>若有最新法律法规、监管政策变更规定的，根据最新法律法规、监管政策执行</w:t>
      </w:r>
    </w:p>
    <w:p w14:paraId="45AEB7F6" w14:textId="71076149" w:rsidR="00353BD1" w:rsidDel="00CD516C" w:rsidRDefault="00064D22">
      <w:pPr>
        <w:spacing w:line="360" w:lineRule="auto"/>
        <w:ind w:firstLineChars="200" w:firstLine="480"/>
        <w:rPr>
          <w:rFonts w:ascii="宋体" w:hAnsi="宋体"/>
          <w:sz w:val="24"/>
        </w:rPr>
      </w:pPr>
      <w:r w:rsidDel="00CD516C">
        <w:rPr>
          <w:rFonts w:ascii="宋体" w:hAnsi="宋体" w:cs="Arial" w:hint="eastAsia"/>
          <w:sz w:val="24"/>
        </w:rPr>
        <w:lastRenderedPageBreak/>
        <w:t>2.</w:t>
      </w:r>
      <w:r w:rsidDel="00CD516C">
        <w:rPr>
          <w:rFonts w:ascii="宋体" w:hAnsi="宋体" w:hint="eastAsia"/>
          <w:sz w:val="24"/>
        </w:rPr>
        <w:t>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w:t>
      </w:r>
    </w:p>
    <w:p w14:paraId="5AD4374D" w14:textId="3A100AE8" w:rsidR="00353BD1" w:rsidDel="00CD516C" w:rsidRDefault="00064D22">
      <w:pPr>
        <w:spacing w:line="360" w:lineRule="auto"/>
        <w:ind w:firstLineChars="200" w:firstLine="480"/>
        <w:rPr>
          <w:rFonts w:ascii="宋体" w:hAnsi="宋体"/>
          <w:sz w:val="24"/>
        </w:rPr>
      </w:pPr>
      <w:r w:rsidDel="00CD516C">
        <w:rPr>
          <w:rFonts w:ascii="宋体" w:hAnsi="宋体" w:hint="eastAsia"/>
          <w:sz w:val="24"/>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任何责任。如因基金管理人原因导致本基金出现损失致使基金托管人承担连带赔偿责任的，基金管理人应赔偿基金托管人由此遭受的损失。</w:t>
      </w:r>
    </w:p>
    <w:p w14:paraId="1A5A6422" w14:textId="663399B5" w:rsidR="00353BD1" w:rsidDel="00CD516C" w:rsidRDefault="00064D22">
      <w:pPr>
        <w:spacing w:line="360" w:lineRule="auto"/>
        <w:ind w:firstLineChars="200" w:firstLine="480"/>
        <w:rPr>
          <w:rFonts w:ascii="宋体" w:hAnsi="宋体"/>
          <w:sz w:val="24"/>
        </w:rPr>
      </w:pPr>
      <w:r w:rsidDel="00CD516C">
        <w:rPr>
          <w:rFonts w:ascii="宋体" w:hAnsi="宋体" w:cs="Arial" w:hint="eastAsia"/>
          <w:sz w:val="24"/>
        </w:rPr>
        <w:t>3.</w:t>
      </w:r>
      <w:r w:rsidDel="00CD516C">
        <w:rPr>
          <w:rFonts w:ascii="宋体" w:hAnsi="宋体" w:hint="eastAsia"/>
          <w:sz w:val="24"/>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18C03A0E" w14:textId="2AC8B2C4" w:rsidR="00353BD1" w:rsidDel="00CD516C" w:rsidRDefault="00064D22">
      <w:pPr>
        <w:spacing w:line="360" w:lineRule="auto"/>
        <w:ind w:firstLineChars="200" w:firstLine="480"/>
        <w:rPr>
          <w:rFonts w:ascii="宋体" w:hAnsi="宋体"/>
          <w:sz w:val="24"/>
        </w:rPr>
      </w:pPr>
      <w:r w:rsidDel="00CD516C">
        <w:rPr>
          <w:rFonts w:ascii="宋体" w:hAnsi="宋体" w:hint="eastAsia"/>
          <w:sz w:val="24"/>
        </w:rPr>
        <w:t>（1）中国证监会批准发行非公开发行股票的批准文件。</w:t>
      </w:r>
    </w:p>
    <w:p w14:paraId="217FEC6D" w14:textId="5ADE0A89" w:rsidR="00353BD1" w:rsidDel="00CD516C" w:rsidRDefault="00064D22">
      <w:pPr>
        <w:spacing w:line="360" w:lineRule="auto"/>
        <w:ind w:firstLineChars="200" w:firstLine="480"/>
        <w:rPr>
          <w:rFonts w:ascii="宋体" w:hAnsi="宋体"/>
          <w:sz w:val="24"/>
        </w:rPr>
      </w:pPr>
      <w:r w:rsidDel="00CD516C">
        <w:rPr>
          <w:rFonts w:ascii="宋体" w:hAnsi="宋体" w:hint="eastAsia"/>
          <w:sz w:val="24"/>
        </w:rPr>
        <w:t>（2）非公开发行股票有关发行数量、发行价格、锁定期等发行资料。</w:t>
      </w:r>
    </w:p>
    <w:p w14:paraId="439DD40F" w14:textId="120C5F12" w:rsidR="00353BD1" w:rsidDel="00CD516C" w:rsidRDefault="00064D22">
      <w:pPr>
        <w:spacing w:line="360" w:lineRule="auto"/>
        <w:ind w:firstLineChars="200" w:firstLine="480"/>
        <w:rPr>
          <w:rFonts w:ascii="宋体" w:hAnsi="宋体"/>
          <w:sz w:val="24"/>
        </w:rPr>
      </w:pPr>
      <w:r w:rsidDel="00CD516C">
        <w:rPr>
          <w:rFonts w:ascii="宋体" w:hAnsi="宋体" w:hint="eastAsia"/>
          <w:sz w:val="24"/>
        </w:rPr>
        <w:t>（</w:t>
      </w:r>
      <w:r w:rsidDel="00CD516C">
        <w:rPr>
          <w:rFonts w:ascii="宋体" w:hAnsi="宋体"/>
          <w:sz w:val="24"/>
        </w:rPr>
        <w:t>3</w:t>
      </w:r>
      <w:r w:rsidDel="00CD516C">
        <w:rPr>
          <w:rFonts w:ascii="宋体" w:hAnsi="宋体" w:hint="eastAsia"/>
          <w:sz w:val="24"/>
        </w:rPr>
        <w:t>）基金拟认购的数量、价格、总成本、账面价值。</w:t>
      </w:r>
    </w:p>
    <w:p w14:paraId="18DD21B6" w14:textId="4E4E63A3" w:rsidR="00353BD1" w:rsidDel="00CD516C" w:rsidRDefault="00064D22">
      <w:pPr>
        <w:spacing w:line="360" w:lineRule="auto"/>
        <w:ind w:firstLineChars="200" w:firstLine="480"/>
        <w:rPr>
          <w:rFonts w:ascii="宋体" w:hAnsi="宋体"/>
          <w:sz w:val="24"/>
        </w:rPr>
      </w:pPr>
      <w:r w:rsidDel="00CD516C">
        <w:rPr>
          <w:rFonts w:ascii="宋体" w:hAnsi="宋体" w:cs="Arial" w:hint="eastAsia"/>
          <w:sz w:val="24"/>
        </w:rPr>
        <w:t>4.</w:t>
      </w:r>
      <w:r w:rsidDel="00CD516C">
        <w:rPr>
          <w:rFonts w:ascii="宋体" w:hAnsi="宋体" w:hint="eastAsia"/>
          <w:sz w:val="24"/>
        </w:rPr>
        <w:t>基金管理人应在本基金投资非公开发行股票后两个交易日内，在中国证监会规定媒介披露所投资非公开发行股票的名称、数量、总成本、账面价值，以及总成本和账面价值占基金资产净值的比例、锁定期等信息。</w:t>
      </w:r>
    </w:p>
    <w:p w14:paraId="766309EC" w14:textId="6ED9203B" w:rsidR="00353BD1" w:rsidDel="00CD516C" w:rsidRDefault="00064D22">
      <w:pPr>
        <w:spacing w:line="360" w:lineRule="auto"/>
        <w:ind w:firstLineChars="200" w:firstLine="480"/>
        <w:rPr>
          <w:rFonts w:ascii="宋体" w:hAnsi="宋体"/>
          <w:sz w:val="24"/>
        </w:rPr>
      </w:pPr>
      <w:r w:rsidDel="00CD516C">
        <w:rPr>
          <w:rFonts w:ascii="宋体" w:hAnsi="宋体" w:hint="eastAsia"/>
          <w:sz w:val="24"/>
        </w:rPr>
        <w:t>本基金有关投资流通受限证券比例如违</w:t>
      </w:r>
      <w:r w:rsidR="00DF1B07" w:rsidDel="00CD516C">
        <w:rPr>
          <w:rFonts w:ascii="宋体" w:hAnsi="宋体" w:hint="eastAsia"/>
          <w:sz w:val="24"/>
        </w:rPr>
        <w:t>反有关限制规定，在合理期限内未能进行及时调整，基金管理人应在两</w:t>
      </w:r>
      <w:r w:rsidDel="00CD516C">
        <w:rPr>
          <w:rFonts w:ascii="宋体" w:hAnsi="宋体" w:hint="eastAsia"/>
          <w:sz w:val="24"/>
        </w:rPr>
        <w:t>日内编制临时报告书，予以公告。</w:t>
      </w:r>
    </w:p>
    <w:p w14:paraId="50809586" w14:textId="256CD23F" w:rsidR="00353BD1" w:rsidDel="00CD516C" w:rsidRDefault="00064D22">
      <w:pPr>
        <w:adjustRightInd w:val="0"/>
        <w:snapToGrid w:val="0"/>
        <w:spacing w:line="360" w:lineRule="auto"/>
        <w:ind w:firstLineChars="200" w:firstLine="480"/>
        <w:rPr>
          <w:rFonts w:ascii="宋体" w:hAnsi="宋体"/>
          <w:sz w:val="24"/>
        </w:rPr>
      </w:pPr>
      <w:r w:rsidDel="00CD516C">
        <w:rPr>
          <w:rFonts w:ascii="宋体" w:hAnsi="宋体" w:cs="Arial"/>
          <w:sz w:val="24"/>
        </w:rPr>
        <w:t>5</w:t>
      </w:r>
      <w:r w:rsidDel="00CD516C">
        <w:rPr>
          <w:rFonts w:ascii="宋体" w:hAnsi="宋体" w:cs="Arial" w:hint="eastAsia"/>
          <w:sz w:val="24"/>
        </w:rPr>
        <w:t>.</w:t>
      </w:r>
      <w:r w:rsidDel="00CD516C">
        <w:rPr>
          <w:rFonts w:ascii="宋体" w:hAnsi="宋体" w:hint="eastAsia"/>
          <w:sz w:val="24"/>
        </w:rPr>
        <w:t>相关法律法规对基金投资流通受限证券有新规定的，从其规定。</w:t>
      </w:r>
    </w:p>
    <w:p w14:paraId="6FF51A02" w14:textId="7C4656BA" w:rsidR="00353BD1" w:rsidDel="00CD516C" w:rsidRDefault="00064D22">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（五）基金托管人根据有关法律法规的规定及《基金合同》的约定，对基金资产净值计算、</w:t>
      </w:r>
      <w:r w:rsidDel="00CD516C">
        <w:rPr>
          <w:rFonts w:asciiTheme="minorEastAsia" w:hAnsiTheme="minorEastAsia" w:cs="Times New Roman" w:hint="eastAsia"/>
          <w:sz w:val="24"/>
        </w:rPr>
        <w:t>各类</w:t>
      </w:r>
      <w:r w:rsidDel="00CD516C">
        <w:rPr>
          <w:rFonts w:ascii="宋体" w:hAnsi="宋体" w:cs="Arial" w:hint="eastAsia"/>
          <w:sz w:val="24"/>
        </w:rPr>
        <w:t>基金份额净值计算、应收资金到账、基金费用开支及收入确定、基金收益分配、相关信息披露、基金宣传推介材料中登载基金业绩表现数据等进行监督和核查。</w:t>
      </w:r>
    </w:p>
    <w:p w14:paraId="28F3A0E2" w14:textId="2EE102F7" w:rsidR="00353BD1" w:rsidDel="00CD516C" w:rsidRDefault="00064D22">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（六）基金托管人发现基金管理人的上述事项及投资指令或实际投资运作违反法律法规、《基金合同》和本托管协议的规定，应及时以电话提醒或书面提示等</w:t>
      </w:r>
      <w:r w:rsidDel="00CD516C">
        <w:rPr>
          <w:rFonts w:ascii="宋体" w:hAnsi="宋体" w:cs="Arial" w:hint="eastAsia"/>
          <w:sz w:val="24"/>
        </w:rPr>
        <w:lastRenderedPageBreak/>
        <w:t>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256FD625" w14:textId="379A19AA" w:rsidR="00353BD1" w:rsidDel="00CD516C" w:rsidRDefault="00064D22">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七）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4E770D53" w14:textId="3B8CAA7D" w:rsidR="00353BD1" w:rsidDel="00CD516C" w:rsidRDefault="00064D22">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（八）若基金托管人发现基金管理人依据交易程序已经生效的指令违反法律、行政法规和其他有关规定，或者违反《基金合同》约定的，应当及时通知基金管理人，由此造成的损失由基金管理人承担。</w:t>
      </w:r>
    </w:p>
    <w:p w14:paraId="484718B8" w14:textId="4A313A62" w:rsidR="00353BD1" w:rsidDel="00CD516C" w:rsidRDefault="00064D22">
      <w:pPr>
        <w:adjustRightInd w:val="0"/>
        <w:snapToGrid w:val="0"/>
        <w:spacing w:line="360" w:lineRule="auto"/>
        <w:ind w:firstLineChars="200" w:firstLine="480"/>
        <w:rPr>
          <w:rFonts w:ascii="宋体" w:hAnsi="宋体" w:cs="Arial"/>
          <w:sz w:val="24"/>
        </w:rPr>
      </w:pPr>
      <w:r w:rsidDel="00CD516C">
        <w:rPr>
          <w:rFonts w:ascii="宋体" w:hAnsi="宋体" w:cs="Arial" w:hint="eastAsia"/>
          <w:sz w:val="24"/>
        </w:rPr>
        <w:t>（九）基金托管人发现基金管理人有重大违规行为，应及时报告中国证监会，同时通知基金管理人限期纠正，并将纠正结果报告中国证监会。基金管理人无正当理由，拒绝、阻挠基金托管人根据本托管协议规定行使监督权，或采取拖延、欺诈等手段妨碍基金托管人进行有效监督，情节严重或经基金托管人提出警告仍不改正的，基金托管人应报告中国证监会。</w:t>
      </w:r>
    </w:p>
    <w:p w14:paraId="6A8C3670" w14:textId="77777777" w:rsidR="00353BD1" w:rsidRDefault="00064D22">
      <w:pPr>
        <w:pStyle w:val="2"/>
        <w:spacing w:line="360" w:lineRule="auto"/>
        <w:jc w:val="center"/>
        <w:rPr>
          <w:rFonts w:ascii="宋体" w:eastAsia="宋体" w:hAnsi="宋体"/>
          <w:sz w:val="30"/>
        </w:rPr>
      </w:pPr>
      <w:bookmarkStart w:id="16" w:name="_Toc86225291"/>
      <w:bookmarkStart w:id="17" w:name="_Toc110830492"/>
      <w:bookmarkStart w:id="18" w:name="_Toc110765660"/>
      <w:bookmarkStart w:id="19" w:name="_Toc86727355"/>
      <w:bookmarkStart w:id="20" w:name="_Toc86223242"/>
      <w:bookmarkStart w:id="21" w:name="_Toc86649722"/>
      <w:bookmarkStart w:id="22" w:name="_Toc119402710"/>
      <w:bookmarkStart w:id="23" w:name="_Toc118972648"/>
      <w:bookmarkStart w:id="24" w:name="_Toc108512358"/>
      <w:bookmarkStart w:id="25" w:name="_Toc89163368"/>
      <w:bookmarkStart w:id="26" w:name="_Toc124325888"/>
      <w:bookmarkStart w:id="27" w:name="_Toc110761796"/>
      <w:bookmarkStart w:id="28" w:name="_Toc118774803"/>
      <w:bookmarkStart w:id="29" w:name="_Toc120435783"/>
      <w:bookmarkStart w:id="30" w:name="_Toc86726439"/>
      <w:bookmarkStart w:id="31" w:name="_Toc118212950"/>
      <w:bookmarkStart w:id="32" w:name="_Toc86737929"/>
      <w:r>
        <w:rPr>
          <w:rFonts w:ascii="宋体" w:eastAsia="宋体" w:hAnsi="宋体" w:hint="eastAsia"/>
          <w:sz w:val="30"/>
        </w:rPr>
        <w:t>四、基金管理人对基金托管人的业务核查</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20116099"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（一）基金管理人对基金托管人履行托管职责情况进行核查，核查事项包括基金托管人安全保管基金财产、开设基金财产的资金账户和证券账户、复核基金管理人计算的基金资产净值和</w:t>
      </w:r>
      <w:r>
        <w:rPr>
          <w:rFonts w:asciiTheme="minorEastAsia" w:hAnsiTheme="minorEastAsia" w:cs="Times New Roman" w:hint="eastAsia"/>
          <w:sz w:val="24"/>
        </w:rPr>
        <w:t>各类</w:t>
      </w:r>
      <w:r>
        <w:rPr>
          <w:rFonts w:ascii="宋体" w:hAnsi="宋体" w:cs="Arial" w:hint="eastAsia"/>
          <w:sz w:val="24"/>
        </w:rPr>
        <w:t>基金份额净值、根据基金管理人指令办理清算交收、相关信息披露和监督基金投资运作等行为。</w:t>
      </w:r>
    </w:p>
    <w:p w14:paraId="55B3955D"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w:t>
      </w:r>
      <w:r>
        <w:rPr>
          <w:rFonts w:ascii="宋体" w:hAnsi="宋体" w:cs="Arial" w:hint="eastAsia"/>
          <w:sz w:val="24"/>
        </w:rPr>
        <w:lastRenderedPageBreak/>
        <w:t>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14:paraId="6575EB12"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三）基金管理人发现基金托管人有重大违规行为，应及时报告中国证监会，同时通知基金托管人限期纠正，并将纠正结果报告中国证监会。基金托管人无正当理由，拒绝、阻挠基金管理人根据本协议规定行使监督权，或采取拖延、欺诈等手段妨碍基金管理人进行有效监督，情节严重或经基金管理人提出警告仍不改正的，基金管理人应报告中国证监会。</w:t>
      </w:r>
    </w:p>
    <w:p w14:paraId="77C80D05" w14:textId="77777777" w:rsidR="00353BD1" w:rsidRDefault="00353BD1">
      <w:pPr>
        <w:spacing w:line="360" w:lineRule="auto"/>
        <w:rPr>
          <w:rFonts w:ascii="宋体" w:hAnsi="宋体"/>
          <w:sz w:val="24"/>
        </w:rPr>
      </w:pPr>
    </w:p>
    <w:p w14:paraId="50A85FD8" w14:textId="77777777" w:rsidR="00353BD1" w:rsidRDefault="00064D22">
      <w:pPr>
        <w:pStyle w:val="2"/>
        <w:spacing w:line="360" w:lineRule="auto"/>
        <w:jc w:val="center"/>
        <w:rPr>
          <w:rFonts w:ascii="宋体" w:eastAsia="宋体" w:hAnsi="宋体"/>
          <w:sz w:val="30"/>
        </w:rPr>
      </w:pPr>
      <w:bookmarkStart w:id="33" w:name="_Toc110765661"/>
      <w:bookmarkStart w:id="34" w:name="_Toc124325889"/>
      <w:bookmarkStart w:id="35" w:name="_Toc86726440"/>
      <w:bookmarkStart w:id="36" w:name="_Toc118972649"/>
      <w:bookmarkStart w:id="37" w:name="_Toc108512359"/>
      <w:bookmarkStart w:id="38" w:name="_Toc84234388"/>
      <w:bookmarkStart w:id="39" w:name="_Toc86727356"/>
      <w:bookmarkStart w:id="40" w:name="_Toc118774804"/>
      <w:bookmarkStart w:id="41" w:name="_Toc89163369"/>
      <w:bookmarkStart w:id="42" w:name="_Toc86649723"/>
      <w:bookmarkStart w:id="43" w:name="_Toc86737930"/>
      <w:bookmarkStart w:id="44" w:name="_Toc110830493"/>
      <w:bookmarkStart w:id="45" w:name="_Toc110761797"/>
      <w:bookmarkStart w:id="46" w:name="_Toc84133786"/>
      <w:bookmarkStart w:id="47" w:name="_Toc118212951"/>
      <w:bookmarkStart w:id="48" w:name="_Toc84234435"/>
      <w:bookmarkStart w:id="49" w:name="_Toc119402711"/>
      <w:bookmarkStart w:id="50" w:name="_Toc86204789"/>
      <w:bookmarkStart w:id="51" w:name="_Toc120435784"/>
      <w:bookmarkStart w:id="52" w:name="_Toc86223243"/>
      <w:bookmarkStart w:id="53" w:name="_Toc86225292"/>
      <w:r>
        <w:rPr>
          <w:rFonts w:ascii="宋体" w:eastAsia="宋体" w:hAnsi="宋体" w:hint="eastAsia"/>
          <w:sz w:val="30"/>
        </w:rPr>
        <w:t>五、基金财产的保管</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6671B204"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（一）基金财产保管的原则</w:t>
      </w:r>
    </w:p>
    <w:p w14:paraId="32C72769"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1.基金财产应独立于基金管理人、基金托管人的固有财产。</w:t>
      </w:r>
    </w:p>
    <w:p w14:paraId="1D3FA676"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2.基金托管人应安全保管基金财产。</w:t>
      </w:r>
    </w:p>
    <w:p w14:paraId="2DE1C300"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3.基金托管人按照规定开设基金财产的资金账户和证券账户。</w:t>
      </w:r>
    </w:p>
    <w:p w14:paraId="4902B170"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4.基金托管人对所托管的不同基金财产分别设置账户，确保基金财产的完整与独立。</w:t>
      </w:r>
    </w:p>
    <w:p w14:paraId="075DF8BF"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5.基金托管人按照《基金合同》和本协议的约定保管基金财产，如有特殊情况双方可另行协商解决。基金</w:t>
      </w:r>
      <w:r>
        <w:rPr>
          <w:rFonts w:ascii="宋体" w:hAnsi="宋体" w:hint="eastAsia"/>
          <w:sz w:val="24"/>
        </w:rPr>
        <w:t>托管人未经基金管理人的指令，不得自行运用、处分、分配本基金的任何资产（不包含基金托管人依据中国证券登记结算有限责任公司结算数据完成场内交易交收、开户银行或交易/登记结算机构扣收交易费、结算费和账户维护费等费用）。</w:t>
      </w:r>
    </w:p>
    <w:p w14:paraId="3B1C6FCF"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w:t>
      </w:r>
    </w:p>
    <w:p w14:paraId="4CFA296C"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7.除依据法律法规和《基金合同》的规定外，基金托管人不得委托第三人托管基金财产。</w:t>
      </w:r>
    </w:p>
    <w:p w14:paraId="3413EA2E"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lastRenderedPageBreak/>
        <w:t>（二）基金募集期间及募集资金的验资</w:t>
      </w:r>
    </w:p>
    <w:p w14:paraId="7B0BA74C" w14:textId="39E44324"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1.基金募集期间募集的资金应存于</w:t>
      </w:r>
      <w:r w:rsidR="00F32B77" w:rsidRPr="00F32B77">
        <w:rPr>
          <w:rFonts w:ascii="宋体" w:hAnsi="宋体" w:cs="Arial" w:hint="eastAsia"/>
          <w:sz w:val="24"/>
        </w:rPr>
        <w:t>基金管理人在基金托管人的营业机构</w:t>
      </w:r>
      <w:r w:rsidR="00081A34">
        <w:rPr>
          <w:rFonts w:ascii="宋体" w:hAnsi="宋体" w:cs="Arial" w:hint="eastAsia"/>
          <w:sz w:val="24"/>
        </w:rPr>
        <w:t>开立的</w:t>
      </w:r>
      <w:r>
        <w:rPr>
          <w:rFonts w:ascii="宋体" w:hAnsi="宋体" w:cs="Arial" w:hint="eastAsia"/>
          <w:sz w:val="24"/>
        </w:rPr>
        <w:t>“基金募集专户”。该账户由基金管理人开立并管理。</w:t>
      </w:r>
    </w:p>
    <w:p w14:paraId="091DFE7B"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2.基金募集期满或基金停止募集时，募集的基金份额总额、基金募集金额、基金份额持有人人数符合《基金法》、《运作办法》等有关规定后，基金管理人应将属于基金财产的全部资金划入基金托管人开立的基金托管资金账户，同时在规定时间内，聘请符合《证券法》规定的会计师事务所进行验资，出具验资报告。出具的验资报告由参加验资的2名或2名以上符合《证券法》规定的注册会计师签字方为有效。</w:t>
      </w:r>
    </w:p>
    <w:p w14:paraId="5EB86F80"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3.若基金募集期限届满，未能达到《基金合同》生效的条件，由基金管理人按规定办理退款等事宜。</w:t>
      </w:r>
    </w:p>
    <w:p w14:paraId="649A71E4"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（三）基金托管资金账户的开立和管理</w:t>
      </w:r>
    </w:p>
    <w:p w14:paraId="1410235A"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1.基金托管人可以基金的名义在其营业机构开立基金的托管资金账户，并根据基金管理人合法合规的指令办理资金收付。本基金的银行预留印鉴由基金托管人保管和使用。</w:t>
      </w:r>
    </w:p>
    <w:p w14:paraId="4A290046"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2.基金托管资金账户的开立和使用，限于满足开展本基金业务的需要。基金托管人和基金管理人不得假借本基金的名义开立任何其他银行账户；亦不得使用基金的任何账户进行本基金业务以外的活动。</w:t>
      </w:r>
    </w:p>
    <w:p w14:paraId="21FC4956"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3.基金托管资金账户的开立和管理应符合银行业监督管理机构的有关规定。</w:t>
      </w:r>
    </w:p>
    <w:p w14:paraId="66961BCA"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4.在符合法律法规规定的条件下，基金托管人可以通过基金托管人专用账户办理基金资产的支付。</w:t>
      </w:r>
    </w:p>
    <w:p w14:paraId="27B51363" w14:textId="77777777" w:rsidR="00353BD1" w:rsidRDefault="00064D22">
      <w:pPr>
        <w:adjustRightInd w:val="0"/>
        <w:snapToGrid w:val="0"/>
        <w:spacing w:line="360" w:lineRule="auto"/>
        <w:ind w:firstLine="480"/>
        <w:rPr>
          <w:rFonts w:ascii="宋体" w:hAnsi="宋体" w:cs="Arial"/>
          <w:sz w:val="24"/>
        </w:rPr>
      </w:pPr>
      <w:r w:rsidRPr="00EA3C6C">
        <w:rPr>
          <w:rFonts w:ascii="宋体" w:hAnsi="宋体" w:cs="Arial"/>
          <w:sz w:val="24"/>
        </w:rPr>
        <w:t>5.基金管理人应于托管产品到期后及时完成收益兑付、费用结清及其他应收应付款项资金划转，在确保后续不再发生款项进出后的10个工作日内向托管人发出销户申请。</w:t>
      </w:r>
    </w:p>
    <w:p w14:paraId="68B5923B"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（四）基金证券账户和结算备付金账户的开立和管理</w:t>
      </w:r>
    </w:p>
    <w:p w14:paraId="18B7D666"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1.基金托管人在中国证券登记结算有限责任公司为基金开立基金托管人与基金联名的证券账户。</w:t>
      </w:r>
    </w:p>
    <w:p w14:paraId="5FA8CF49"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6A250141"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3.基金证券账户的开立和证券账户卡的保管由基金托管人负责，账户资产的管理和运用由基金管理人负责。</w:t>
      </w:r>
    </w:p>
    <w:p w14:paraId="28ADFD5F"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证券账户开户费由基金管理人先行垫付,待托管产品启始运营后,基金管理人可向基金托管人发送划款指令,将代垫开户费从本基金托管资金账户中扣还基金管理人。</w:t>
      </w:r>
    </w:p>
    <w:p w14:paraId="35DDE86C"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收资金等的收取按照中国证券登记结算有限责任公司的规定以及基金管理人与基金托管人签署的《托管银行证券资金结算协议》执行。</w:t>
      </w:r>
    </w:p>
    <w:p w14:paraId="1D2A58F1"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5.账户注销时，在遵守中国证券登记结算有限责任公司的相关规定下，由管理人和托管人协商确认主要办理人。账户注销期间，主要办理人如需另一方提供配合的，另一方应予以配合。</w:t>
      </w:r>
    </w:p>
    <w:p w14:paraId="7CA2E9FE"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6.若中国证监会或其他监管机构在本托管协议订立日之后允许基金从事其他投资品种的投资业务，涉及相关账户的开立、使用的，若无相关规定，则基金托管人比照上述关于账户开立、使用的规定执行。</w:t>
      </w:r>
    </w:p>
    <w:p w14:paraId="10F7AA51"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（五）银行间账户的开设和管理</w:t>
      </w:r>
    </w:p>
    <w:p w14:paraId="084D8E6A"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和资金结算专户，并代表基金进行银行间市场债券的结算。</w:t>
      </w:r>
    </w:p>
    <w:p w14:paraId="743B0778" w14:textId="77777777" w:rsidR="00EB5593" w:rsidRPr="00EB5593" w:rsidRDefault="00EB5593" w:rsidP="00EB5593">
      <w:pPr>
        <w:adjustRightInd w:val="0"/>
        <w:snapToGrid w:val="0"/>
        <w:spacing w:line="360" w:lineRule="auto"/>
        <w:ind w:firstLineChars="200" w:firstLine="480"/>
        <w:rPr>
          <w:rFonts w:ascii="宋体" w:hAnsi="宋体" w:cs="Arial"/>
          <w:sz w:val="24"/>
        </w:rPr>
      </w:pPr>
      <w:r w:rsidRPr="00EB5593">
        <w:rPr>
          <w:rFonts w:ascii="宋体" w:hAnsi="宋体" w:cs="Arial" w:hint="eastAsia"/>
          <w:sz w:val="24"/>
        </w:rPr>
        <w:t>（六）开放式基金账户的开设和管理</w:t>
      </w:r>
    </w:p>
    <w:p w14:paraId="179A6D8C" w14:textId="77777777" w:rsidR="00EB5593" w:rsidRPr="00EB5593" w:rsidRDefault="00EB5593" w:rsidP="00EB5593">
      <w:pPr>
        <w:adjustRightInd w:val="0"/>
        <w:snapToGrid w:val="0"/>
        <w:spacing w:line="360" w:lineRule="auto"/>
        <w:ind w:firstLineChars="200" w:firstLine="480"/>
        <w:rPr>
          <w:rFonts w:ascii="宋体" w:hAnsi="宋体" w:cs="Arial"/>
          <w:sz w:val="24"/>
        </w:rPr>
      </w:pPr>
      <w:r w:rsidRPr="00EB5593">
        <w:rPr>
          <w:rFonts w:ascii="宋体" w:hAnsi="宋体" w:cs="Arial" w:hint="eastAsia"/>
          <w:sz w:val="24"/>
        </w:rPr>
        <w:t>场外开放式基金账户由管理人根据基金公司要求填写相关资料后开立。管理人应指定托管资金账户作为开放式基金交易及回款的唯一结算账户。管理人应及时将开放式基金账户的信息发送托管人。</w:t>
      </w:r>
    </w:p>
    <w:p w14:paraId="72FF12BC" w14:textId="2D86ABE3" w:rsidR="00EB5593" w:rsidRDefault="00EB5593" w:rsidP="00EB5593">
      <w:pPr>
        <w:adjustRightInd w:val="0"/>
        <w:snapToGrid w:val="0"/>
        <w:spacing w:line="360" w:lineRule="auto"/>
        <w:ind w:firstLineChars="200" w:firstLine="480"/>
        <w:rPr>
          <w:rFonts w:ascii="宋体" w:hAnsi="宋体" w:cs="Arial"/>
          <w:sz w:val="24"/>
        </w:rPr>
      </w:pPr>
      <w:r w:rsidRPr="00EB5593">
        <w:rPr>
          <w:rFonts w:ascii="宋体" w:hAnsi="宋体" w:cs="Arial" w:hint="eastAsia"/>
          <w:sz w:val="24"/>
        </w:rPr>
        <w:t>管理人选择通过机构投资者场外投资业务平台（简称"FISP"）参与开放式基金投资的，应由投资管理人在FISP系统登记产品信息（包含托管人信息），由托管人对银行账户信息进行验证。产品登记成功后，由投资管理人在线向基金销售机构提交开户申请，账户开立信息通过FISP反馈投资管理人和托管人</w:t>
      </w:r>
      <w:r>
        <w:rPr>
          <w:rFonts w:ascii="宋体" w:hAnsi="宋体" w:cs="Arial" w:hint="eastAsia"/>
          <w:sz w:val="24"/>
        </w:rPr>
        <w:t>。</w:t>
      </w:r>
    </w:p>
    <w:p w14:paraId="225D39B3" w14:textId="44B08791"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00EB5593">
        <w:rPr>
          <w:rFonts w:ascii="宋体" w:hAnsi="宋体" w:cs="Arial" w:hint="eastAsia"/>
          <w:sz w:val="24"/>
        </w:rPr>
        <w:t>七</w:t>
      </w:r>
      <w:r>
        <w:rPr>
          <w:rFonts w:ascii="宋体" w:hAnsi="宋体" w:cs="Arial" w:hint="eastAsia"/>
          <w:sz w:val="24"/>
        </w:rPr>
        <w:t>）其他账户的开立和管理</w:t>
      </w:r>
    </w:p>
    <w:p w14:paraId="6D7B3C8D"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1.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14:paraId="2BCED3BA"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2.法律法规等有关规定对相关账户的开立和管理另有规定的，从其规定办理。</w:t>
      </w:r>
    </w:p>
    <w:p w14:paraId="389D4CA1" w14:textId="434DA8A8"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w:t>
      </w:r>
      <w:r w:rsidR="00EB5593">
        <w:rPr>
          <w:rFonts w:ascii="宋体" w:hAnsi="宋体" w:cs="Arial" w:hint="eastAsia"/>
          <w:sz w:val="24"/>
        </w:rPr>
        <w:t>八</w:t>
      </w:r>
      <w:r>
        <w:rPr>
          <w:rFonts w:ascii="宋体" w:hAnsi="宋体" w:cs="Arial" w:hint="eastAsia"/>
          <w:sz w:val="24"/>
        </w:rPr>
        <w:t>）基金财产投资的有关有价凭证等的保管</w:t>
      </w:r>
    </w:p>
    <w:p w14:paraId="05918FF6" w14:textId="77777777" w:rsidR="00353BD1" w:rsidRDefault="00064D22">
      <w:pPr>
        <w:adjustRightInd w:val="0"/>
        <w:snapToGrid w:val="0"/>
        <w:spacing w:line="360" w:lineRule="auto"/>
        <w:ind w:firstLineChars="200" w:firstLine="480"/>
        <w:rPr>
          <w:rFonts w:ascii="宋体" w:hAnsi="宋体" w:cs="Arial"/>
        </w:rPr>
      </w:pPr>
      <w:r>
        <w:rPr>
          <w:rFonts w:ascii="宋体" w:hAnsi="宋体" w:cs="Arial" w:hint="eastAsia"/>
          <w:sz w:val="24"/>
        </w:rPr>
        <w:t>基金财产投资的有关实物证券、银行</w:t>
      </w:r>
      <w:r>
        <w:rPr>
          <w:rFonts w:ascii="宋体" w:hAnsi="宋体" w:hint="eastAsia"/>
          <w:sz w:val="24"/>
        </w:rPr>
        <w:t>存款开户证实书</w:t>
      </w:r>
      <w:r>
        <w:rPr>
          <w:rFonts w:ascii="宋体" w:hAnsi="宋体" w:cs="Arial" w:hint="eastAsia"/>
          <w:sz w:val="24"/>
        </w:rPr>
        <w:t>等有价凭证由基金托管人存放于基金托管人的保管库，也可存入法律法规有关规定允许的各类代保管库，保管凭证由基金托管人持有。实物证券、银行定期存款证实书等有价凭证的购买和转让，按基金管理人和基金托管人双方约定办理。基金托管人对由基金托管人以外机构实际有效控制或保管的资产不承担任何责任。</w:t>
      </w:r>
    </w:p>
    <w:p w14:paraId="3C4C912E" w14:textId="154C0CDA"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00EB5593">
        <w:rPr>
          <w:rFonts w:ascii="宋体" w:hAnsi="宋体" w:cs="Arial" w:hint="eastAsia"/>
          <w:sz w:val="24"/>
        </w:rPr>
        <w:t>九</w:t>
      </w:r>
      <w:r>
        <w:rPr>
          <w:rFonts w:ascii="宋体" w:hAnsi="宋体" w:cs="Arial" w:hint="eastAsia"/>
          <w:sz w:val="24"/>
        </w:rPr>
        <w:t>）与基金财产有关的重大合同的保管</w:t>
      </w:r>
    </w:p>
    <w:p w14:paraId="606A701E" w14:textId="77777777" w:rsidR="00353BD1" w:rsidRDefault="00064D22">
      <w:pPr>
        <w:adjustRightInd w:val="0"/>
        <w:snapToGrid w:val="0"/>
        <w:spacing w:line="360" w:lineRule="auto"/>
        <w:ind w:firstLineChars="200" w:firstLine="480"/>
        <w:rPr>
          <w:rFonts w:ascii="宋体" w:hAnsi="宋体"/>
          <w:sz w:val="30"/>
          <w:szCs w:val="30"/>
        </w:rPr>
      </w:pPr>
      <w:r>
        <w:rPr>
          <w:rFonts w:ascii="宋体" w:hAnsi="宋体" w:cs="Arial" w:hint="eastAsia"/>
          <w:sz w:val="24"/>
        </w:rPr>
        <w:t>由基金管理人代表基金签署的、与基金有关的重大合同的原件分别由基金管理人、基金托管人保管。除本协议另有规定外，基金管理人在代表基金签署与基金有关的重大合同时应保证基金一方持有两份以上的正本，以保证基金管理人和基金托管人至少各持有一份正本的原件。基金管理人应在重大合同签署后及时将重大合同传真给基金托管人，并在三十个工作日内将正本送达基金托管人处。重大合同的保管期限不低于法律法规规定的最低期限。</w:t>
      </w:r>
    </w:p>
    <w:p w14:paraId="6E5C2A01" w14:textId="77777777" w:rsidR="00353BD1" w:rsidRDefault="00353BD1">
      <w:pPr>
        <w:spacing w:line="360" w:lineRule="auto"/>
        <w:rPr>
          <w:rFonts w:ascii="宋体" w:hAnsi="宋体"/>
          <w:sz w:val="24"/>
        </w:rPr>
      </w:pPr>
    </w:p>
    <w:p w14:paraId="60C452E9" w14:textId="77777777" w:rsidR="00353BD1" w:rsidRDefault="00064D22">
      <w:pPr>
        <w:pStyle w:val="2"/>
        <w:spacing w:line="360" w:lineRule="auto"/>
        <w:jc w:val="center"/>
        <w:rPr>
          <w:rFonts w:ascii="宋体" w:eastAsia="宋体" w:hAnsi="宋体"/>
          <w:sz w:val="30"/>
        </w:rPr>
      </w:pPr>
      <w:bookmarkStart w:id="54" w:name="_Toc86225293"/>
      <w:bookmarkStart w:id="55" w:name="_Toc86737931"/>
      <w:bookmarkStart w:id="56" w:name="_Toc118972650"/>
      <w:bookmarkStart w:id="57" w:name="_Toc86726441"/>
      <w:bookmarkStart w:id="58" w:name="_Toc84234389"/>
      <w:bookmarkStart w:id="59" w:name="_Toc86223244"/>
      <w:bookmarkStart w:id="60" w:name="_Toc89163370"/>
      <w:bookmarkStart w:id="61" w:name="_Toc84133787"/>
      <w:bookmarkStart w:id="62" w:name="_Toc118774805"/>
      <w:bookmarkStart w:id="63" w:name="_Toc110830494"/>
      <w:bookmarkStart w:id="64" w:name="_Toc119402712"/>
      <w:bookmarkStart w:id="65" w:name="_Toc86204790"/>
      <w:bookmarkStart w:id="66" w:name="_Toc110761798"/>
      <w:bookmarkStart w:id="67" w:name="_Toc120435785"/>
      <w:bookmarkStart w:id="68" w:name="_Toc84234436"/>
      <w:bookmarkStart w:id="69" w:name="_Toc108512360"/>
      <w:bookmarkStart w:id="70" w:name="_Toc86649724"/>
      <w:bookmarkStart w:id="71" w:name="_Toc86727357"/>
      <w:bookmarkStart w:id="72" w:name="_Toc124325890"/>
      <w:bookmarkStart w:id="73" w:name="_Toc110765662"/>
      <w:bookmarkStart w:id="74" w:name="_Toc118212952"/>
      <w:r>
        <w:rPr>
          <w:rFonts w:ascii="宋体" w:eastAsia="宋体" w:hAnsi="宋体" w:hint="eastAsia"/>
          <w:sz w:val="30"/>
        </w:rPr>
        <w:t>六、指令的发送、确认及执行</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66AD99DF"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基金管理人在运用基金财产时向基金托管人发送资金划拨及其他款项付款指令，基金托管人执行基金管理人的指令、办理基金名下的资金往来等有关事项。</w:t>
      </w:r>
    </w:p>
    <w:p w14:paraId="2CF4E910"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（一）基金管理人对发送指令人员的书面授权</w:t>
      </w:r>
    </w:p>
    <w:p w14:paraId="4A9DD79D"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1.基金管理人应指定专人向基金托管人发送指令。</w:t>
      </w:r>
    </w:p>
    <w:p w14:paraId="246582D8"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2.基金管理人应向基金托管人提供书面授权文件原件，内容包括被授权人名单、预留印鉴及被授权人签字样本，授权文件应注明被授权人相应的权限, 并加盖单位公章。</w:t>
      </w:r>
    </w:p>
    <w:p w14:paraId="65596605"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3.基金托管人在收到授权文件原件并经电话确认后，授权文件即生效。如果授</w:t>
      </w:r>
      <w:r>
        <w:rPr>
          <w:rFonts w:ascii="宋体" w:hAnsi="宋体" w:cs="Arial" w:hint="eastAsia"/>
          <w:sz w:val="24"/>
        </w:rPr>
        <w:lastRenderedPageBreak/>
        <w:t>权文件中载明具体生效时间的，该生效时间不得早于基金托管人收到授权文件并经电话确认的时点。如早于前述时间，则以基金托管人收到授权文件并经电话确认的时点为授权文件的生效时间。</w:t>
      </w:r>
    </w:p>
    <w:p w14:paraId="31ABA795"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4.基金管理人和基金托管人对授权文件负有保密义务，其内容不得向被授权人及相关操作人员以外的任何人泄露。但法律法规规定或有权机关要求的除外。</w:t>
      </w:r>
    </w:p>
    <w:p w14:paraId="2148C9D6"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（二）指令的内容</w:t>
      </w:r>
    </w:p>
    <w:p w14:paraId="0073CDE5"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1.指令包括付款指令以及其他资金划拨指令等。</w:t>
      </w:r>
    </w:p>
    <w:p w14:paraId="75AE71AD"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2.基金管理人发给基金托管人的指令应写明款项事由、支付时间、到账时间、金额、收付款账户等，加盖预留印鉴并由被授权人签字。</w:t>
      </w:r>
    </w:p>
    <w:p w14:paraId="404BEF7D"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（三）指令的发送、确认及执行的时间和程序</w:t>
      </w:r>
    </w:p>
    <w:p w14:paraId="3C2F542B"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1.指令的发送</w:t>
      </w:r>
    </w:p>
    <w:p w14:paraId="7EBCD394"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基金管理人发送指令应采用传真方式或双方协商一致的其他方式。</w:t>
      </w:r>
    </w:p>
    <w:p w14:paraId="2D0DCC6D"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14:paraId="05684E96"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指令发出后，基金管理人应及时以电话方式向基金托管人确认。</w:t>
      </w:r>
    </w:p>
    <w:p w14:paraId="0D9B93EE" w14:textId="77777777" w:rsidR="00353BD1" w:rsidRDefault="00064D22">
      <w:pPr>
        <w:adjustRightInd w:val="0"/>
        <w:snapToGrid w:val="0"/>
        <w:spacing w:line="360" w:lineRule="auto"/>
        <w:ind w:firstLine="480"/>
        <w:rPr>
          <w:rFonts w:ascii="宋体" w:hAnsi="宋体" w:cs="Arial"/>
          <w:sz w:val="24"/>
        </w:rPr>
      </w:pPr>
      <w:r>
        <w:rPr>
          <w:rFonts w:ascii="宋体" w:hAnsi="宋体" w:hint="eastAsia"/>
          <w:sz w:val="24"/>
        </w:rPr>
        <w:t>基金管理人应在银行间交易成交后，及时将通知单、相关文件及划款指令加盖印章后发至基金托管人并电话确认，由基金托管人完成后台交易匹配及资金交收事宜。如果银行间结算系统已经生成的交易需要取消或终止，基金管理人要书面通知基金托管人。</w:t>
      </w:r>
    </w:p>
    <w:p w14:paraId="2486D739"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2.指令的确认</w:t>
      </w:r>
    </w:p>
    <w:p w14:paraId="63FB5D4D"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14:paraId="3D374AA2"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3.指令的时间和执行</w:t>
      </w:r>
    </w:p>
    <w:p w14:paraId="0D3705C4" w14:textId="77777777" w:rsidR="00353BD1" w:rsidRDefault="00064D22">
      <w:pPr>
        <w:pStyle w:val="a6"/>
        <w:spacing w:line="360" w:lineRule="auto"/>
        <w:ind w:firstLineChars="0"/>
        <w:rPr>
          <w:rFonts w:ascii="宋体" w:eastAsia="宋体" w:hAnsi="宋体" w:cs="Arial"/>
          <w:szCs w:val="24"/>
          <w:shd w:val="pct10" w:color="auto" w:fill="FFFFFF"/>
        </w:rPr>
      </w:pPr>
      <w:r>
        <w:rPr>
          <w:rFonts w:ascii="宋体" w:eastAsia="宋体" w:hAnsi="宋体" w:cs="Arial" w:hint="eastAsia"/>
        </w:rPr>
        <w:lastRenderedPageBreak/>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相关付款条件已经具备。基金托管人将视付款条件具备时为指令送达时间。对新股申购网下发行业务，基金管理人应在网下申购缴款日(T日)的前一工作日下班前将指令发送给基金托管人，指令发送时间最迟不应晚于T日上午10:00。</w:t>
      </w:r>
      <w:r>
        <w:rPr>
          <w:rFonts w:ascii="宋体" w:eastAsia="宋体" w:hAnsi="宋体" w:cs="Arial" w:hint="eastAsia"/>
          <w:szCs w:val="24"/>
        </w:rPr>
        <w:t>基金管理人应确保基金托管人在执行指令时，基金托管资金账户有足够的资金余额，</w:t>
      </w:r>
      <w:r>
        <w:rPr>
          <w:rFonts w:ascii="宋体" w:eastAsia="宋体" w:hAnsi="宋体" w:cs="Arial" w:hint="eastAsia"/>
        </w:rPr>
        <w:t>在基金资金头寸充足的情况下，基金托管人对基金管理人符合法律法规、《基金合同》、本协议的指令不得拖延或拒绝执行。</w:t>
      </w:r>
    </w:p>
    <w:p w14:paraId="12E4ECAC" w14:textId="77777777" w:rsidR="00353BD1" w:rsidRDefault="00064D22">
      <w:pPr>
        <w:pStyle w:val="a6"/>
        <w:spacing w:line="360" w:lineRule="auto"/>
        <w:ind w:firstLineChars="0"/>
        <w:rPr>
          <w:rFonts w:ascii="宋体" w:eastAsia="宋体" w:hAnsi="宋体" w:cs="Arial"/>
        </w:rPr>
      </w:pPr>
      <w:r>
        <w:rPr>
          <w:rFonts w:ascii="宋体" w:eastAsia="宋体" w:hAnsi="宋体" w:cs="Arial" w:hint="eastAsia"/>
        </w:rPr>
        <w:t>（四）基金管理人发送错误指令的情形和处理程序</w:t>
      </w:r>
    </w:p>
    <w:p w14:paraId="73584C5C"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基金管理人发送错误指令的情形包括指令违反法律法规、监管规定、《基金合同》或本协议的约定，或指令发送人员无权或超越权限发送指令。</w:t>
      </w:r>
    </w:p>
    <w:p w14:paraId="1D76695F"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基金托管人发现基金管理人的指令错误时，有权拒绝执行，并及时通知基金管理人改正。如需托管人撤销尚未执行的指令，基金管理人应出具作废指令或作废说明，并电话通知托管人。</w:t>
      </w:r>
    </w:p>
    <w:p w14:paraId="62B53667"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（五）基金托管人未按照基金管理人指令执行的处理方法</w:t>
      </w:r>
    </w:p>
    <w:p w14:paraId="5CF505E7"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基金托管人由于自身过错，未按照基金管理人发送的符合法律法规、监管规定、《基金合同》和本协议约定的指令执行并对基金财产或投资人造成的直接损失，由基金托管人</w:t>
      </w:r>
      <w:r>
        <w:rPr>
          <w:rFonts w:ascii="宋体" w:hAnsi="宋体" w:hint="eastAsia"/>
          <w:sz w:val="24"/>
        </w:rPr>
        <w:t>赔偿由此造成的直接损失。</w:t>
      </w:r>
    </w:p>
    <w:p w14:paraId="3EF04BC1"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（六）更换被授权人员的程序</w:t>
      </w:r>
    </w:p>
    <w:p w14:paraId="239706FA"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基金管理人更换被授权人、更改或终止对被授权人的授权，应立即将加盖公章的新的授权文件以邮件发送扫描件的方式通知基金托管人，并经电话确认后生效，原授权文件同时废止。新的授权文件应当在邮件发出后七个工作日内送达托管人文件正本。新的授权文件生效之后，正本送达之前，基金托管人按照新的授权文件扫描件内容执行有关业务，如果新的授权文件正本与扫描件内容不同，由此产生的责任由基金管理人承担</w:t>
      </w:r>
      <w:r>
        <w:rPr>
          <w:rFonts w:ascii="宋体" w:hAnsi="宋体" w:hint="eastAsia"/>
          <w:sz w:val="24"/>
        </w:rPr>
        <w:t>。</w:t>
      </w:r>
      <w:r>
        <w:rPr>
          <w:rFonts w:ascii="宋体" w:hAnsi="宋体" w:cs="Arial" w:hint="eastAsia"/>
          <w:sz w:val="24"/>
        </w:rPr>
        <w:t>基金托管人更换接受基金管理人指令的传真号或邮箱地址，应提前通知基金管理人。</w:t>
      </w:r>
    </w:p>
    <w:p w14:paraId="73F372D1"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（七）其他事项</w:t>
      </w:r>
    </w:p>
    <w:p w14:paraId="5D88BF80"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基金托管人在接收指令时，应对指令的要素是否齐全、印鉴与被授权人是否与预留的授权文件内容表面相符进行检查，如发现问题，应及时报告基金管理人，基</w:t>
      </w:r>
      <w:r>
        <w:rPr>
          <w:rFonts w:ascii="宋体" w:hAnsi="宋体" w:cs="Arial" w:hint="eastAsia"/>
          <w:sz w:val="24"/>
        </w:rPr>
        <w:lastRenderedPageBreak/>
        <w:t>金托管人对执行基金管理人的有效指令对基金财产造成的损失不承担赔偿责任。</w:t>
      </w:r>
    </w:p>
    <w:p w14:paraId="622769D7" w14:textId="77777777" w:rsidR="00353BD1" w:rsidRDefault="00064D22">
      <w:pPr>
        <w:adjustRightInd w:val="0"/>
        <w:snapToGrid w:val="0"/>
        <w:spacing w:line="360" w:lineRule="auto"/>
        <w:ind w:firstLine="480"/>
        <w:rPr>
          <w:rFonts w:ascii="宋体" w:hAnsi="宋体" w:cs="Arial"/>
          <w:sz w:val="24"/>
        </w:rPr>
      </w:pPr>
      <w:r>
        <w:rPr>
          <w:rFonts w:ascii="宋体" w:hAnsi="宋体" w:cs="Arial" w:hint="eastAsia"/>
          <w:sz w:val="24"/>
        </w:rPr>
        <w:t>基金参与认购未上市债券时，基金管理人应代表本基金与对手方签署相关合同或协议，明确约定债券过户具体事宜。否则，基金管理人需对所认购债券的过户事宜承担相应责任。</w:t>
      </w:r>
    </w:p>
    <w:p w14:paraId="1D143CDE" w14:textId="77777777" w:rsidR="00353BD1" w:rsidRDefault="00353BD1">
      <w:pPr>
        <w:adjustRightInd w:val="0"/>
        <w:snapToGrid w:val="0"/>
        <w:spacing w:line="360" w:lineRule="auto"/>
        <w:rPr>
          <w:rFonts w:ascii="宋体" w:hAnsi="宋体" w:cs="Arial"/>
          <w:sz w:val="24"/>
        </w:rPr>
      </w:pPr>
    </w:p>
    <w:p w14:paraId="2C6FC95F" w14:textId="77777777" w:rsidR="00353BD1" w:rsidRDefault="00064D22">
      <w:pPr>
        <w:pStyle w:val="2"/>
        <w:spacing w:line="360" w:lineRule="auto"/>
        <w:jc w:val="center"/>
        <w:rPr>
          <w:rFonts w:ascii="宋体" w:eastAsia="宋体" w:hAnsi="宋体"/>
          <w:sz w:val="30"/>
        </w:rPr>
      </w:pPr>
      <w:bookmarkStart w:id="75" w:name="_Toc124325891"/>
      <w:bookmarkStart w:id="76" w:name="_Toc86223245"/>
      <w:bookmarkStart w:id="77" w:name="_Toc84234437"/>
      <w:bookmarkStart w:id="78" w:name="_Toc86649725"/>
      <w:bookmarkStart w:id="79" w:name="_Toc86727358"/>
      <w:bookmarkStart w:id="80" w:name="_Toc118972651"/>
      <w:bookmarkStart w:id="81" w:name="_Toc120435786"/>
      <w:bookmarkStart w:id="82" w:name="_Toc110830495"/>
      <w:bookmarkStart w:id="83" w:name="_Toc108512361"/>
      <w:bookmarkStart w:id="84" w:name="_Toc86204791"/>
      <w:bookmarkStart w:id="85" w:name="_Toc86737932"/>
      <w:bookmarkStart w:id="86" w:name="_Toc84133788"/>
      <w:bookmarkStart w:id="87" w:name="_Toc110765663"/>
      <w:bookmarkStart w:id="88" w:name="_Toc110761799"/>
      <w:bookmarkStart w:id="89" w:name="_Toc86726442"/>
      <w:bookmarkStart w:id="90" w:name="_Toc119402713"/>
      <w:bookmarkStart w:id="91" w:name="_Toc89163371"/>
      <w:bookmarkStart w:id="92" w:name="_Toc86225294"/>
      <w:bookmarkStart w:id="93" w:name="_Toc118212953"/>
      <w:bookmarkStart w:id="94" w:name="_Toc118774806"/>
      <w:bookmarkStart w:id="95" w:name="_Toc84234390"/>
      <w:r>
        <w:rPr>
          <w:rFonts w:ascii="宋体" w:eastAsia="宋体" w:hAnsi="宋体" w:hint="eastAsia"/>
          <w:sz w:val="30"/>
        </w:rPr>
        <w:t>七、交易及清算交收安排</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5CC9892C"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本产品参与交易所场内证券投资，采取托管人结算模式，基金管理人与基金托管人应根据有关法律法规及相关业务规则，签订《托管银行证券资金结算协议》用以具体明确基金管理人与基金托管人在证券交易资金结算（含港股通）业务中的程序与责任。协议签署前，基金管理人应按基金托管人要求配合提供相应准入材料。</w:t>
      </w:r>
    </w:p>
    <w:p w14:paraId="3AA04942"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（一）选择证券买卖的证券经营机构</w:t>
      </w:r>
    </w:p>
    <w:p w14:paraId="32272E83"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在基金的中期报告和年度报告中将所选证券经营机构的有关情况及交易信息予以披露，并将该等情况及基金交易单元号、佣金费率等基本信息以及变更情况及时以书面形式通知基金托管人。</w:t>
      </w:r>
    </w:p>
    <w:p w14:paraId="243020A6" w14:textId="4B8D4BC9"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本基金在开始进行期货投资之前，应与基金托管人、期货公司三方一同就期货开户、清算、估值、交收等事宜另行签署《期货投资托管操作三方备忘录》。</w:t>
      </w:r>
    </w:p>
    <w:p w14:paraId="6561379A" w14:textId="7B4C683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本基金参加期权交易前，应当按照现有证券账户开立方式向中国证券登记结算有限责任公司申请新开立一个普通证券账户，基金管理人负责将该证券账户指定交易在证券公司或期货公司，由相应证券公司（或期货公司）为本产品开立衍生品合约账户后，再通过该证券公司（或期货公司）参与期权交易。</w:t>
      </w:r>
    </w:p>
    <w:p w14:paraId="5D9EEABB"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（二）基金投资证券后的清算交收安排</w:t>
      </w:r>
    </w:p>
    <w:p w14:paraId="349FF554"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1.结算备付金与保证金</w:t>
      </w:r>
    </w:p>
    <w:p w14:paraId="779378D8"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中国证券登记结算有限责任公司分别于每月前6个交易日及每月前3个交易日内，对结算参与人最低备付金限额与结算保证金限额进行重新核算、调整。基金</w:t>
      </w:r>
      <w:r w:rsidRPr="001A61E5">
        <w:rPr>
          <w:rFonts w:ascii="宋体" w:hAnsi="宋体" w:hint="eastAsia"/>
          <w:sz w:val="24"/>
        </w:rPr>
        <w:lastRenderedPageBreak/>
        <w:t>托管人应分别于每月前3个交易日内及结算保证金调整当日通过《资金账户报告》通知基金管理人本基金最低备付金调整金额以及调整后的结算保证金金额。基金管理人应预留最低备付金和结算保证金，并根据中国证券登记结算有限责任公司确定的实际最低备付金、结算保证金数据为依据安排资金运作，调整所需的现金头寸。如因调整最低备付金、结算保证金后造成透支，基金管理人应视基金托管人最低结算备付金比例计收方式分别于下列时点补足透支金额：</w:t>
      </w:r>
    </w:p>
    <w:p w14:paraId="6F8FF4CC"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（1）固定备付金比例计收方式下，基金管理人应在调整最低备付金、结算保证金当日上午11：00之前补足金额。</w:t>
      </w:r>
    </w:p>
    <w:p w14:paraId="00AF198B"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（2）差异化备付金比例计收方式下，基金管理人应最晚于资金交收日上午8：30前补足金额。</w:t>
      </w:r>
    </w:p>
    <w:p w14:paraId="66934B8B"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2、清算交收</w:t>
      </w:r>
    </w:p>
    <w:p w14:paraId="3BC5F2A8"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基金托管人负责基金买卖证券的清算交收。场内资金结算由基金托管人根据中国证券登记结算有限责任公司结算数据办理；场外资金汇划由基金托管人根据基金管理人的交易划款指令具体办理。</w:t>
      </w:r>
    </w:p>
    <w:p w14:paraId="33FAE4BC"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如果因为基金托管人自身过错在清算上造成基金财产的直接损失，应由基金托管人负责赔偿，但因中国人民银行、中国结算和银行间市场登记结算机构资金结算系统以及其他机构的结算系统发生故障等非基金托管人可以控制的因素造成清算资金无法按时到账的情形，基金托管人不承担任何责任；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在预清算结束后通知基金管理人预透支和预欠库事项，基金管理人应保持联系方式畅通，后续补缴等事宜由基金管理人负责解决，由此给基金托管人、本基金和基金托管人托管的其他资产造成的直接损失由基金管理人承担。</w:t>
      </w:r>
    </w:p>
    <w:p w14:paraId="3B25C1A3"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基金管理人应采取合理、必要措施，确保T日日终有足够的资金头寸完成 T+1日中国证券登记结算有限责任公司的资金交收；如因基金管理人原因导致资金头寸不足，基金管理人应视基金托管人最低结算备付金比例计收方式分别于下列时点补足透支金额：</w:t>
      </w:r>
    </w:p>
    <w:p w14:paraId="32824CAD"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（1）固定备付金比例计收方式下，基金管理人应最晚于资金交收日上午11：</w:t>
      </w:r>
      <w:r w:rsidRPr="001A61E5">
        <w:rPr>
          <w:rFonts w:ascii="宋体" w:hAnsi="宋体" w:hint="eastAsia"/>
          <w:sz w:val="24"/>
        </w:rPr>
        <w:lastRenderedPageBreak/>
        <w:t>00前补足金额。</w:t>
      </w:r>
    </w:p>
    <w:p w14:paraId="4BC4671B"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2）差异化备付金比例计收方式下，基金管理人应最晚于资金交收日上午8：30前补足金额。如果基金管理人未遵循上述规定备足资金头寸，影响基金资产的清算交收及基金托管人与中国证券登记结算有限责任公司之间的一级清算，由此给基金托管人、基金资产及基金托管人托管的其他资产造成的直接损失由基金管理人负责。</w:t>
      </w:r>
    </w:p>
    <w:p w14:paraId="48B463FB"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根据中国证券登记结算有限责任公司结算规定，基金管理人在进行融资回购业务时，用于融资回购的债券将作为偿还融资回购到期购回款的质押券。如因基金管理人原因造成债券回购交收违约或因折算率变化造成质押欠库，导致中国证券登记结算有限责任公司欠库扣款或对质押券进行处置造成的投资风险和损失由基金管理人承担。</w:t>
      </w:r>
    </w:p>
    <w:p w14:paraId="4B6C609C"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对于中国证券登记结算有限责任公司实行T+0非担保交收的业务，基金管理人应在交易日14:00前将划款指令发送至基金托管人。因基金管理人指令传输不及时，致使资金未能及时划入中国结算指定交收账户所造成的损失由基金管理人承担。包括但不限于赔偿在该市场引起其他托管客户交易失败、赔偿因占用结算参与人最低备付金带来的利息损失。</w:t>
      </w:r>
    </w:p>
    <w:p w14:paraId="346F5328" w14:textId="21809FB9"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3</w:t>
      </w:r>
      <w:r>
        <w:rPr>
          <w:rFonts w:ascii="宋体" w:hAnsi="宋体" w:hint="eastAsia"/>
          <w:sz w:val="24"/>
        </w:rPr>
        <w:t>、</w:t>
      </w:r>
      <w:r w:rsidRPr="001A61E5">
        <w:rPr>
          <w:rFonts w:ascii="宋体" w:hAnsi="宋体" w:hint="eastAsia"/>
          <w:sz w:val="24"/>
        </w:rPr>
        <w:t>交易记录、资金和证券账目核对的时间和方式</w:t>
      </w:r>
    </w:p>
    <w:p w14:paraId="2DD5FD6C"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（1）交易记录的核对</w:t>
      </w:r>
    </w:p>
    <w:p w14:paraId="0567F48D"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基金管理人按日进行交易记录的核对。每日对外披露净值之前，必须保证当天所有实际交易记录与基金会计账簿上的交易记录完全一致。如果实际交易记录与会计账簿记录不一致，造成基金会计核算不完整或不真实，由此导致的损失由基金管理人承担。</w:t>
      </w:r>
    </w:p>
    <w:p w14:paraId="001D7050"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（2）资金账目的核对</w:t>
      </w:r>
    </w:p>
    <w:p w14:paraId="046A4B30"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资金账目按日核实。</w:t>
      </w:r>
    </w:p>
    <w:p w14:paraId="7CD324A9"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（3）证券账目的核对</w:t>
      </w:r>
    </w:p>
    <w:p w14:paraId="4B3266C2"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基金管理人和基金托管人每个估值日结束后核对基金证券账目，确保双方账目相符。</w:t>
      </w:r>
    </w:p>
    <w:p w14:paraId="679D01CE" w14:textId="4F952BFE"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（三）基金申购</w:t>
      </w:r>
      <w:r w:rsidR="00D75D94">
        <w:rPr>
          <w:rFonts w:ascii="宋体" w:hAnsi="宋体" w:hint="eastAsia"/>
          <w:sz w:val="24"/>
        </w:rPr>
        <w:t>、</w:t>
      </w:r>
      <w:r w:rsidRPr="001A61E5">
        <w:rPr>
          <w:rFonts w:ascii="宋体" w:hAnsi="宋体" w:hint="eastAsia"/>
          <w:sz w:val="24"/>
        </w:rPr>
        <w:t>赎回</w:t>
      </w:r>
      <w:r w:rsidR="00D75D94">
        <w:rPr>
          <w:rFonts w:ascii="宋体" w:hAnsi="宋体" w:hint="eastAsia"/>
          <w:sz w:val="24"/>
        </w:rPr>
        <w:t>、转换</w:t>
      </w:r>
      <w:r w:rsidRPr="001A61E5">
        <w:rPr>
          <w:rFonts w:ascii="宋体" w:hAnsi="宋体" w:hint="eastAsia"/>
          <w:sz w:val="24"/>
        </w:rPr>
        <w:t>业务处理的基本规定</w:t>
      </w:r>
    </w:p>
    <w:p w14:paraId="0D5B3A2B" w14:textId="76DC7325"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1</w:t>
      </w:r>
      <w:r>
        <w:rPr>
          <w:rFonts w:ascii="宋体" w:hAnsi="宋体" w:hint="eastAsia"/>
          <w:sz w:val="24"/>
        </w:rPr>
        <w:t>、</w:t>
      </w:r>
      <w:r w:rsidRPr="001A61E5">
        <w:rPr>
          <w:rFonts w:ascii="宋体" w:hAnsi="宋体" w:hint="eastAsia"/>
          <w:sz w:val="24"/>
        </w:rPr>
        <w:t>基金份额申购、赎回</w:t>
      </w:r>
      <w:r w:rsidR="00D75D94">
        <w:rPr>
          <w:rFonts w:ascii="宋体" w:hAnsi="宋体" w:hint="eastAsia"/>
          <w:sz w:val="24"/>
        </w:rPr>
        <w:t>、转换</w:t>
      </w:r>
      <w:r w:rsidRPr="001A61E5">
        <w:rPr>
          <w:rFonts w:ascii="宋体" w:hAnsi="宋体" w:hint="eastAsia"/>
          <w:sz w:val="24"/>
        </w:rPr>
        <w:t>的确认、清算由基金管理人或其委托的注册登记机构负责。</w:t>
      </w:r>
    </w:p>
    <w:p w14:paraId="7FD34089" w14:textId="3B91C192"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lastRenderedPageBreak/>
        <w:t>2</w:t>
      </w:r>
      <w:r>
        <w:rPr>
          <w:rFonts w:ascii="宋体" w:hAnsi="宋体" w:hint="eastAsia"/>
          <w:sz w:val="24"/>
        </w:rPr>
        <w:t>、</w:t>
      </w:r>
      <w:r w:rsidRPr="001A61E5">
        <w:rPr>
          <w:rFonts w:ascii="宋体" w:hAnsi="宋体" w:hint="eastAsia"/>
          <w:sz w:val="24"/>
        </w:rPr>
        <w:t>基金管理人应将每个开放日的申购、赎回、转换开放式基金的数据传送给基金托管人。基金管理人应对传递的申购、赎回、转换开放式基金的数据真实性负责。基金托管人应及时查收</w:t>
      </w:r>
      <w:r w:rsidR="00D75D94">
        <w:rPr>
          <w:rFonts w:ascii="宋体" w:hAnsi="宋体" w:hint="eastAsia"/>
          <w:sz w:val="24"/>
        </w:rPr>
        <w:t>净应收款</w:t>
      </w:r>
      <w:r w:rsidRPr="001A61E5">
        <w:rPr>
          <w:rFonts w:ascii="宋体" w:hAnsi="宋体" w:hint="eastAsia"/>
          <w:sz w:val="24"/>
        </w:rPr>
        <w:t>的到账情况并根据基金管理人指令及时划付</w:t>
      </w:r>
      <w:r w:rsidR="00D75D94">
        <w:rPr>
          <w:rFonts w:ascii="宋体" w:hAnsi="宋体" w:hint="eastAsia"/>
          <w:sz w:val="24"/>
        </w:rPr>
        <w:t>净应付款</w:t>
      </w:r>
      <w:r w:rsidRPr="001A61E5">
        <w:rPr>
          <w:rFonts w:ascii="宋体" w:hAnsi="宋体" w:hint="eastAsia"/>
          <w:sz w:val="24"/>
        </w:rPr>
        <w:t>。</w:t>
      </w:r>
    </w:p>
    <w:p w14:paraId="665FBB75" w14:textId="0DBF619E"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3</w:t>
      </w:r>
      <w:r>
        <w:rPr>
          <w:rFonts w:ascii="宋体" w:hAnsi="宋体" w:hint="eastAsia"/>
          <w:sz w:val="24"/>
        </w:rPr>
        <w:t>、</w:t>
      </w:r>
      <w:r w:rsidRPr="001A61E5">
        <w:rPr>
          <w:rFonts w:ascii="宋体" w:hAnsi="宋体" w:hint="eastAsia"/>
          <w:sz w:val="24"/>
        </w:rPr>
        <w:t>基金管理人应保证本基金（或本基金管理人委托）的注册登记机构每个工作日15:00前向基金托管人发送前一开放日上述有关数据，并保证相关数据的准确、完整。</w:t>
      </w:r>
    </w:p>
    <w:p w14:paraId="01A762BB" w14:textId="61BBE12B"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4</w:t>
      </w:r>
      <w:r>
        <w:rPr>
          <w:rFonts w:ascii="宋体" w:hAnsi="宋体" w:hint="eastAsia"/>
          <w:sz w:val="24"/>
        </w:rPr>
        <w:t>、</w:t>
      </w:r>
      <w:r w:rsidRPr="001A61E5">
        <w:rPr>
          <w:rFonts w:ascii="宋体" w:hAnsi="宋体" w:hint="eastAsia"/>
          <w:sz w:val="24"/>
        </w:rPr>
        <w:t>注册登记机构应通过与基金托管人建立的系统发送有关数据，如因各种原因，该系统无法正常发送，双方可协商解决处理方式。基金管理人向基金托管人发送的数据，双方各自按有关规定保存。</w:t>
      </w:r>
    </w:p>
    <w:p w14:paraId="0D8350A4" w14:textId="1E120952"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5</w:t>
      </w:r>
      <w:r>
        <w:rPr>
          <w:rFonts w:ascii="宋体" w:hAnsi="宋体" w:hint="eastAsia"/>
          <w:sz w:val="24"/>
        </w:rPr>
        <w:t>、</w:t>
      </w:r>
      <w:r w:rsidRPr="001A61E5">
        <w:rPr>
          <w:rFonts w:ascii="宋体" w:hAnsi="宋体" w:hint="eastAsia"/>
          <w:sz w:val="24"/>
        </w:rPr>
        <w:t>如基金管理人委托其他机构办理本基金的注册登记业务，应保证上述相关事宜按时进行。否则，由基金管理人承担相应的责任。</w:t>
      </w:r>
    </w:p>
    <w:p w14:paraId="01B9599B" w14:textId="64EBC886"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6</w:t>
      </w:r>
      <w:r>
        <w:rPr>
          <w:rFonts w:ascii="宋体" w:hAnsi="宋体" w:hint="eastAsia"/>
          <w:sz w:val="24"/>
        </w:rPr>
        <w:t>、</w:t>
      </w:r>
      <w:r w:rsidRPr="001A61E5">
        <w:rPr>
          <w:rFonts w:ascii="宋体" w:hAnsi="宋体" w:hint="eastAsia"/>
          <w:sz w:val="24"/>
        </w:rPr>
        <w:t>关于清算专用账户的设立和管理</w:t>
      </w:r>
    </w:p>
    <w:p w14:paraId="3EAF4CDD" w14:textId="22388612"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为满足申购、赎回</w:t>
      </w:r>
      <w:r w:rsidR="00D75D94">
        <w:rPr>
          <w:rFonts w:ascii="宋体" w:hAnsi="宋体" w:hint="eastAsia"/>
          <w:sz w:val="24"/>
        </w:rPr>
        <w:t>、转换</w:t>
      </w:r>
      <w:r w:rsidRPr="001A61E5">
        <w:rPr>
          <w:rFonts w:ascii="宋体" w:hAnsi="宋体" w:hint="eastAsia"/>
          <w:sz w:val="24"/>
        </w:rPr>
        <w:t>及分红资金汇划的需要，由基金管理人开立资金清算的专用账户，该账户由注册登记机构管理。</w:t>
      </w:r>
    </w:p>
    <w:p w14:paraId="6624894C" w14:textId="7FBA145F"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7</w:t>
      </w:r>
      <w:r>
        <w:rPr>
          <w:rFonts w:ascii="宋体" w:hAnsi="宋体" w:hint="eastAsia"/>
          <w:sz w:val="24"/>
        </w:rPr>
        <w:t>、</w:t>
      </w:r>
      <w:r w:rsidRPr="001A61E5">
        <w:rPr>
          <w:rFonts w:ascii="宋体" w:hAnsi="宋体" w:hint="eastAsia"/>
          <w:sz w:val="24"/>
        </w:rPr>
        <w:t>对于基金申购过程中产生的应收款，应由基金管理人负责与有关当事人确定到账日期并通知基金托管人，到账日</w:t>
      </w:r>
      <w:r w:rsidR="00D75D94">
        <w:rPr>
          <w:rFonts w:ascii="宋体" w:hAnsi="宋体" w:hint="eastAsia"/>
          <w:sz w:val="24"/>
        </w:rPr>
        <w:t>净应收款</w:t>
      </w:r>
      <w:r w:rsidRPr="001A61E5">
        <w:rPr>
          <w:rFonts w:ascii="宋体" w:hAnsi="宋体" w:hint="eastAsia"/>
          <w:sz w:val="24"/>
        </w:rPr>
        <w:t>没有到达基金托管资金账户的，基金托管人应及时通知基金管理人采取措施进行催收，由此造成基金损失的，基金管理人应负责向有关当事人追偿基金的损失。</w:t>
      </w:r>
    </w:p>
    <w:p w14:paraId="22B41AF4" w14:textId="20AC73FA" w:rsidR="001A61E5" w:rsidRPr="001A61E5" w:rsidRDefault="001A61E5" w:rsidP="001A61E5">
      <w:pPr>
        <w:adjustRightInd w:val="0"/>
        <w:snapToGrid w:val="0"/>
        <w:spacing w:line="360" w:lineRule="auto"/>
        <w:ind w:firstLineChars="200" w:firstLine="480"/>
        <w:rPr>
          <w:rFonts w:ascii="宋体" w:hAnsi="宋体"/>
          <w:sz w:val="24"/>
        </w:rPr>
      </w:pPr>
      <w:r>
        <w:rPr>
          <w:rFonts w:ascii="宋体" w:hAnsi="宋体"/>
          <w:sz w:val="24"/>
        </w:rPr>
        <w:t>8</w:t>
      </w:r>
      <w:r>
        <w:rPr>
          <w:rFonts w:ascii="宋体" w:hAnsi="宋体" w:hint="eastAsia"/>
          <w:sz w:val="24"/>
        </w:rPr>
        <w:t>、</w:t>
      </w:r>
      <w:r w:rsidR="00D75D94">
        <w:rPr>
          <w:rFonts w:ascii="宋体" w:hAnsi="宋体" w:hint="eastAsia"/>
          <w:sz w:val="24"/>
        </w:rPr>
        <w:t>净应付款</w:t>
      </w:r>
      <w:r w:rsidRPr="001A61E5">
        <w:rPr>
          <w:rFonts w:ascii="宋体" w:hAnsi="宋体" w:hint="eastAsia"/>
          <w:sz w:val="24"/>
        </w:rPr>
        <w:t>和分红资金划拨规定</w:t>
      </w:r>
    </w:p>
    <w:p w14:paraId="727ABD28" w14:textId="39164604"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拨付</w:t>
      </w:r>
      <w:r w:rsidR="00D75D94">
        <w:rPr>
          <w:rFonts w:ascii="宋体" w:hAnsi="宋体" w:hint="eastAsia"/>
          <w:sz w:val="24"/>
        </w:rPr>
        <w:t>净应付</w:t>
      </w:r>
      <w:r w:rsidRPr="001A61E5">
        <w:rPr>
          <w:rFonts w:ascii="宋体" w:hAnsi="宋体" w:hint="eastAsia"/>
          <w:sz w:val="24"/>
        </w:rPr>
        <w:t>款或进行基金分红时，如基金托管资金账户有足够的资金，基金托管人应按时拨付；因基金托管资金账户没有足够的资金，导致基金托管人不能按时拨付，如系基金管理人的原因造成，责任由基金管理人承担，基金托管人不承担垫款义务。</w:t>
      </w:r>
    </w:p>
    <w:p w14:paraId="69B7A269" w14:textId="194D0973"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9</w:t>
      </w:r>
      <w:r w:rsidR="00E87F4A">
        <w:rPr>
          <w:rFonts w:ascii="宋体" w:hAnsi="宋体" w:hint="eastAsia"/>
          <w:sz w:val="24"/>
        </w:rPr>
        <w:t>、</w:t>
      </w:r>
      <w:r w:rsidRPr="001A61E5">
        <w:rPr>
          <w:rFonts w:ascii="宋体" w:hAnsi="宋体" w:hint="eastAsia"/>
          <w:sz w:val="24"/>
        </w:rPr>
        <w:t>资金指令</w:t>
      </w:r>
    </w:p>
    <w:p w14:paraId="44DE9227" w14:textId="6BD05092"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除</w:t>
      </w:r>
      <w:r w:rsidR="00D75D94">
        <w:rPr>
          <w:rFonts w:ascii="宋体" w:hAnsi="宋体" w:hint="eastAsia"/>
          <w:sz w:val="24"/>
        </w:rPr>
        <w:t>净应收款</w:t>
      </w:r>
      <w:r w:rsidRPr="001A61E5">
        <w:rPr>
          <w:rFonts w:ascii="宋体" w:hAnsi="宋体" w:hint="eastAsia"/>
          <w:sz w:val="24"/>
        </w:rPr>
        <w:t>到达基金托管资金账户需双方按约定方式对账外，回购到期付款和与投资有关的付款、</w:t>
      </w:r>
      <w:r w:rsidR="00D75D94">
        <w:rPr>
          <w:rFonts w:ascii="宋体" w:hAnsi="宋体" w:hint="eastAsia"/>
          <w:sz w:val="24"/>
        </w:rPr>
        <w:t>净应付款</w:t>
      </w:r>
      <w:r w:rsidRPr="001A61E5">
        <w:rPr>
          <w:rFonts w:ascii="宋体" w:hAnsi="宋体" w:hint="eastAsia"/>
          <w:sz w:val="24"/>
        </w:rPr>
        <w:t>和分红资金划拨时，基金管理人需向基金托管人下达指令。</w:t>
      </w:r>
    </w:p>
    <w:p w14:paraId="2999AD3F"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资金指令的格式、内容、发送、接收和确认方式等与投资指令相同。</w:t>
      </w:r>
    </w:p>
    <w:p w14:paraId="079823E1" w14:textId="31AFEBB3"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（四）</w:t>
      </w:r>
      <w:r w:rsidR="00D75D94">
        <w:rPr>
          <w:rFonts w:ascii="宋体" w:hAnsi="宋体" w:hint="eastAsia"/>
          <w:sz w:val="24"/>
        </w:rPr>
        <w:t>资金</w:t>
      </w:r>
      <w:r w:rsidRPr="001A61E5">
        <w:rPr>
          <w:rFonts w:ascii="宋体" w:hAnsi="宋体" w:hint="eastAsia"/>
          <w:sz w:val="24"/>
        </w:rPr>
        <w:t>净额结算</w:t>
      </w:r>
    </w:p>
    <w:p w14:paraId="72A527FB" w14:textId="28F4998E"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lastRenderedPageBreak/>
        <w:t>基金托管资金账户与“基金清算账户”间的资金结算遵循“全额清算、净额交收”的原则，每日(T日：资金交收日，下同)按照托管资金账户应收资金与应付资金的差额来确定托管资金账户净应收额或净应付额，以此确定资金交收额。当存在托管资金账户净应收额时，基金管理人应在T日15:00之前从基金清算账户划到基金托管资金账户；当存在托管资金账户净应付额时，基金管理人应在T日</w:t>
      </w:r>
      <w:r w:rsidR="00D75D94">
        <w:rPr>
          <w:rFonts w:ascii="宋体" w:hAnsi="宋体" w:hint="eastAsia"/>
          <w:sz w:val="24"/>
        </w:rPr>
        <w:t>10点前</w:t>
      </w:r>
      <w:r w:rsidRPr="001A61E5">
        <w:rPr>
          <w:rFonts w:ascii="宋体" w:hAnsi="宋体" w:hint="eastAsia"/>
          <w:sz w:val="24"/>
        </w:rPr>
        <w:t>将划款指令发送给基金托管人，基金托管人按基金管理人的划款指令将托管资金账户净应付额在T日</w:t>
      </w:r>
      <w:r w:rsidR="00C96E5B">
        <w:rPr>
          <w:rFonts w:ascii="宋体" w:hAnsi="宋体" w:hint="eastAsia"/>
          <w:sz w:val="24"/>
        </w:rPr>
        <w:t>15</w:t>
      </w:r>
      <w:r w:rsidRPr="001A61E5">
        <w:rPr>
          <w:rFonts w:ascii="宋体" w:hAnsi="宋体" w:hint="eastAsia"/>
          <w:sz w:val="24"/>
        </w:rPr>
        <w:t>:00之前划往基金清算账户。</w:t>
      </w:r>
    </w:p>
    <w:p w14:paraId="29D9DF23" w14:textId="4AB39934"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（五）基金转换</w:t>
      </w:r>
    </w:p>
    <w:p w14:paraId="2652138A" w14:textId="40CF3F5B"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1</w:t>
      </w:r>
      <w:r w:rsidR="00E87F4A">
        <w:rPr>
          <w:rFonts w:ascii="宋体" w:hAnsi="宋体" w:hint="eastAsia"/>
          <w:sz w:val="24"/>
        </w:rPr>
        <w:t>、</w:t>
      </w:r>
      <w:r w:rsidRPr="001A61E5">
        <w:rPr>
          <w:rFonts w:ascii="宋体" w:hAnsi="宋体" w:hint="eastAsia"/>
          <w:sz w:val="24"/>
        </w:rPr>
        <w:t>在本基金与基金管理人管理的其它基金开展转换业务之前，基金管理人应函告基金托管人并就相关事宜进行协商。</w:t>
      </w:r>
    </w:p>
    <w:p w14:paraId="35C45619" w14:textId="7E46C69C"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2</w:t>
      </w:r>
      <w:r w:rsidR="00E87F4A">
        <w:rPr>
          <w:rFonts w:ascii="宋体" w:hAnsi="宋体" w:hint="eastAsia"/>
          <w:sz w:val="24"/>
        </w:rPr>
        <w:t>、</w:t>
      </w:r>
      <w:r w:rsidRPr="001A61E5">
        <w:rPr>
          <w:rFonts w:ascii="宋体" w:hAnsi="宋体" w:hint="eastAsia"/>
          <w:sz w:val="24"/>
        </w:rPr>
        <w:t>基金托管人将根据基金管理人传送的基金转换数据进行账务处理，具体资金清算和数据传递的时间、程序及托管协议当事人承担的权责按基金管理人届时的公告执行。</w:t>
      </w:r>
    </w:p>
    <w:p w14:paraId="4827C311" w14:textId="7399633F"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3</w:t>
      </w:r>
      <w:r w:rsidR="00E87F4A">
        <w:rPr>
          <w:rFonts w:ascii="宋体" w:hAnsi="宋体" w:hint="eastAsia"/>
          <w:sz w:val="24"/>
        </w:rPr>
        <w:t>、</w:t>
      </w:r>
      <w:r w:rsidRPr="001A61E5">
        <w:rPr>
          <w:rFonts w:ascii="宋体" w:hAnsi="宋体" w:hint="eastAsia"/>
          <w:sz w:val="24"/>
        </w:rPr>
        <w:t>本基金开展基金转换业务应按相关法律法规规定及《基金合同》的约定进行公告。</w:t>
      </w:r>
    </w:p>
    <w:p w14:paraId="38732FAE"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（六）基金现金分红</w:t>
      </w:r>
    </w:p>
    <w:p w14:paraId="35F8EB25" w14:textId="0FA1BCB0"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1</w:t>
      </w:r>
      <w:r w:rsidR="00E87F4A">
        <w:rPr>
          <w:rFonts w:ascii="宋体" w:hAnsi="宋体" w:hint="eastAsia"/>
          <w:sz w:val="24"/>
        </w:rPr>
        <w:t>、</w:t>
      </w:r>
      <w:r w:rsidRPr="001A61E5">
        <w:rPr>
          <w:rFonts w:ascii="宋体" w:hAnsi="宋体" w:hint="eastAsia"/>
          <w:sz w:val="24"/>
        </w:rPr>
        <w:t>基金管理人确定分红方案通知基金托管人，双方核定后依照《信息披露办法》的有关规定在中国证监会规定媒介上公告。</w:t>
      </w:r>
    </w:p>
    <w:p w14:paraId="2961C87A" w14:textId="2A67F52F"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2</w:t>
      </w:r>
      <w:r w:rsidR="00E87F4A">
        <w:rPr>
          <w:rFonts w:ascii="宋体" w:hAnsi="宋体" w:hint="eastAsia"/>
          <w:sz w:val="24"/>
        </w:rPr>
        <w:t>、</w:t>
      </w:r>
      <w:r w:rsidRPr="001A61E5">
        <w:rPr>
          <w:rFonts w:ascii="宋体" w:hAnsi="宋体" w:hint="eastAsia"/>
          <w:sz w:val="24"/>
        </w:rPr>
        <w:t>基金托管人和基金管理人对基金分红进行账务处理并核对后，基金管理人向基金托管人发送现金红利的划款指令，基金托管人应及时将资金划入专用账户。</w:t>
      </w:r>
    </w:p>
    <w:p w14:paraId="2754C896"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3.基金管理人在下达指令时，应给基金托管人留出必需的划款时间。</w:t>
      </w:r>
    </w:p>
    <w:p w14:paraId="7A9FFB47"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（七）投资银行存款的特别约定</w:t>
      </w:r>
    </w:p>
    <w:p w14:paraId="6677DC5C" w14:textId="77FA0353"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1</w:t>
      </w:r>
      <w:r w:rsidR="00E87F4A">
        <w:rPr>
          <w:rFonts w:ascii="宋体" w:hAnsi="宋体" w:hint="eastAsia"/>
          <w:sz w:val="24"/>
        </w:rPr>
        <w:t>、</w:t>
      </w:r>
      <w:r w:rsidRPr="001A61E5">
        <w:rPr>
          <w:rFonts w:ascii="宋体" w:hAnsi="宋体" w:hint="eastAsia"/>
          <w:sz w:val="24"/>
        </w:rPr>
        <w:t>本基金投资银行存款前，基金管理人应与存款银行签订具体存款协议，包括但不限于以下内容：。</w:t>
      </w:r>
    </w:p>
    <w:p w14:paraId="1F4DA225"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（1）存款账户必须以本基金名义开立,并将基金托管人为本基金开立的基金托管资金账户指定为唯一回款账户，任何情况下，存款银行都不得将存款投资本息划往任何其他账户。</w:t>
      </w:r>
    </w:p>
    <w:p w14:paraId="00522E6D"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（2）存款银行不得接受基金管理人或基金托管人任何一方单方面提出的对存款进行更名、转让、挂失、质押、担保、撤销、变更印鉴及回款账户信息等可能导致财产转移的操作申请。</w:t>
      </w:r>
    </w:p>
    <w:p w14:paraId="6BCBBBED"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lastRenderedPageBreak/>
        <w:t>（3）约定存款证实书的具体传递交接方式及交接期限。</w:t>
      </w:r>
    </w:p>
    <w:p w14:paraId="01F55303"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（4）资金划转过程中需要使用存款银行过渡账户的，存款银行须保证资金在过渡账户中不出现滞留，不被挪用。</w:t>
      </w:r>
    </w:p>
    <w:p w14:paraId="3B7E48C5" w14:textId="10CBB73F"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2</w:t>
      </w:r>
      <w:r w:rsidR="00E87F4A">
        <w:rPr>
          <w:rFonts w:ascii="宋体" w:hAnsi="宋体" w:hint="eastAsia"/>
          <w:sz w:val="24"/>
        </w:rPr>
        <w:t>、</w:t>
      </w:r>
      <w:r w:rsidRPr="001A61E5">
        <w:rPr>
          <w:rFonts w:ascii="宋体" w:hAnsi="宋体" w:hint="eastAsia"/>
          <w:sz w:val="24"/>
        </w:rPr>
        <w:t>本基金投资银行存款，必须采用双方认可的方式办理。托管人负责依据管理人提供的银行存款投资合同/协议、投资指令、支取通知等有关文件办理资金的支付以及存款证实书的接收、保管与交付，切实履行托管职责。托管人负责对存款开户证实书进行保管，不负责对存款开户证实书真伪的辨别，不承担存款开户证实书对应存款的本金及收益的安全。</w:t>
      </w:r>
    </w:p>
    <w:p w14:paraId="76BA8DA0" w14:textId="3BD8F4A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3</w:t>
      </w:r>
      <w:r w:rsidR="00E87F4A">
        <w:rPr>
          <w:rFonts w:ascii="宋体" w:hAnsi="宋体" w:hint="eastAsia"/>
          <w:sz w:val="24"/>
        </w:rPr>
        <w:t>、</w:t>
      </w:r>
      <w:r w:rsidRPr="001A61E5">
        <w:rPr>
          <w:rFonts w:ascii="宋体" w:hAnsi="宋体" w:hint="eastAsia"/>
          <w:sz w:val="24"/>
        </w:rPr>
        <w:t>基金管理人投资银行存款或办理存款支取时，应提前书面通知基金托管人，以便基金托管人有足够的时间履行相应的业务操作程序。因发生逾期支取、提前支取或部分提前支取，托管银行不承担相应利息损失及逾期支取手续费。</w:t>
      </w:r>
    </w:p>
    <w:p w14:paraId="6DD81EB8"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4、对于已移交基金托管人保管的存款开户证实书等实物凭证，基金托管人应安全保管；对未按约定将存款开户证实书等实物凭证移交托管人保管的，基金托管人应向基金管理人进行必要的催缴和风险提示；提示后仍不将相关实物凭证送达托管人保管的，出于托管履职和尽责，托管人可视情况采取必要的风险控制措施：（1）建立风险预警机制，对于实物凭证未送达集中度较高的存款银行，主动发函管理人尽量避免在此类银行进行存款投资；（2）在定期报告中，对未按约定送达基金托管人保管的实物凭证信息进行规定范围信息披露；（3）未送达实物凭证超过送单截止日后30个工作日，且累计超过3笔（含）以上的，部分或全部暂停配合基金管理人办理后续新增存款投资业务，直至实物凭证送达托管人保管后解除。实物凭证未送达但存款本息已安全划回托管资金账户的，以及因发生特殊情况由管理人提供相关书面说明并重新承诺送单截止时间的，可剔除不计。</w:t>
      </w:r>
    </w:p>
    <w:p w14:paraId="171F72C1" w14:textId="77777777" w:rsidR="001A61E5" w:rsidRPr="001A61E5" w:rsidRDefault="001A61E5" w:rsidP="001A61E5">
      <w:pPr>
        <w:adjustRightInd w:val="0"/>
        <w:snapToGrid w:val="0"/>
        <w:spacing w:line="360" w:lineRule="auto"/>
        <w:ind w:firstLineChars="200" w:firstLine="480"/>
        <w:rPr>
          <w:rFonts w:ascii="宋体" w:hAnsi="宋体"/>
          <w:sz w:val="24"/>
        </w:rPr>
      </w:pPr>
      <w:r w:rsidRPr="001A61E5">
        <w:rPr>
          <w:rFonts w:ascii="宋体" w:hAnsi="宋体" w:hint="eastAsia"/>
          <w:sz w:val="24"/>
        </w:rPr>
        <w:t>（八）托管产品通过第三方销售机构参与开放式基金投资的特别约定（如适用）</w:t>
      </w:r>
    </w:p>
    <w:p w14:paraId="52C7CB40" w14:textId="08D47604" w:rsidR="00E12A7F" w:rsidRDefault="001A61E5" w:rsidP="00E12A7F">
      <w:pPr>
        <w:adjustRightInd w:val="0"/>
        <w:snapToGrid w:val="0"/>
        <w:spacing w:line="360" w:lineRule="auto"/>
        <w:ind w:firstLineChars="200" w:firstLine="480"/>
        <w:rPr>
          <w:rFonts w:ascii="宋体" w:hAnsi="宋体" w:cs="Arial"/>
          <w:sz w:val="24"/>
        </w:rPr>
      </w:pPr>
      <w:r w:rsidRPr="001A61E5">
        <w:rPr>
          <w:rFonts w:ascii="宋体" w:hAnsi="宋体" w:hint="eastAsia"/>
          <w:sz w:val="24"/>
        </w:rPr>
        <w:t>本产品可以通过第三方基金销售机构渠道投资开放式基金。为维护产品持有人利益、保障资产安全，投资管理人应负责制订选择第三方基金销售机构的标准和程序，并据此选择第三方销售机构。对于第三方基金销售机构原因给本产品造成损失的，相关责任由投资管理人承担。</w:t>
      </w:r>
    </w:p>
    <w:p w14:paraId="3C3E77B6" w14:textId="77777777" w:rsidR="00353BD1" w:rsidRDefault="00353BD1">
      <w:pPr>
        <w:adjustRightInd w:val="0"/>
        <w:snapToGrid w:val="0"/>
        <w:spacing w:line="360" w:lineRule="auto"/>
        <w:ind w:firstLineChars="200" w:firstLine="480"/>
        <w:rPr>
          <w:rFonts w:ascii="宋体" w:hAnsi="宋体" w:cs="Arial"/>
          <w:sz w:val="24"/>
        </w:rPr>
      </w:pPr>
    </w:p>
    <w:p w14:paraId="43834DD8" w14:textId="77777777" w:rsidR="00353BD1" w:rsidRDefault="00064D22">
      <w:pPr>
        <w:pStyle w:val="2"/>
        <w:spacing w:line="360" w:lineRule="auto"/>
        <w:jc w:val="center"/>
        <w:rPr>
          <w:rFonts w:ascii="宋体" w:eastAsia="宋体" w:hAnsi="宋体"/>
          <w:sz w:val="30"/>
        </w:rPr>
      </w:pPr>
      <w:bookmarkStart w:id="96" w:name="_Toc124325892"/>
      <w:r>
        <w:rPr>
          <w:rFonts w:ascii="宋体" w:eastAsia="宋体" w:hAnsi="宋体" w:hint="eastAsia"/>
          <w:sz w:val="30"/>
        </w:rPr>
        <w:lastRenderedPageBreak/>
        <w:t>八、基金资产净值计算和会计核算</w:t>
      </w:r>
      <w:bookmarkEnd w:id="96"/>
    </w:p>
    <w:p w14:paraId="1F4E314F"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（一）基金资产净值的计算、复核与完成的时间及程序</w:t>
      </w:r>
    </w:p>
    <w:p w14:paraId="15C67560" w14:textId="544EBF56"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1.基金资产净值是指基金资产总值减去负债后的金额。各类基金份额净值是按照每个估值日闭市后，各类基金份额的基金资产净值除以当日该类基金份额的余额</w:t>
      </w:r>
      <w:r w:rsidR="002A14E2">
        <w:rPr>
          <w:rFonts w:ascii="宋体" w:hAnsi="宋体" w:cs="Arial" w:hint="eastAsia"/>
          <w:sz w:val="24"/>
        </w:rPr>
        <w:t>总数</w:t>
      </w:r>
      <w:r>
        <w:rPr>
          <w:rFonts w:ascii="宋体" w:hAnsi="宋体" w:cs="Arial" w:hint="eastAsia"/>
          <w:sz w:val="24"/>
        </w:rPr>
        <w:t>计算，均精确到0.00</w:t>
      </w:r>
      <w:r>
        <w:rPr>
          <w:rFonts w:ascii="宋体" w:hAnsi="宋体" w:cs="Arial"/>
          <w:sz w:val="24"/>
        </w:rPr>
        <w:t>0</w:t>
      </w:r>
      <w:r>
        <w:rPr>
          <w:rFonts w:ascii="宋体" w:hAnsi="宋体" w:cs="Arial" w:hint="eastAsia"/>
          <w:sz w:val="24"/>
        </w:rPr>
        <w:t>1元，小数点后第五位四舍五入。基金管理人可以设立大额赎回情形下的净值精度应急调整机制。国家另有规定的，从其规定。</w:t>
      </w:r>
    </w:p>
    <w:p w14:paraId="799196E6" w14:textId="23C9C4A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每个估值日</w:t>
      </w:r>
      <w:r w:rsidR="0062027C" w:rsidRPr="0062027C">
        <w:rPr>
          <w:rFonts w:ascii="宋体" w:hAnsi="宋体" w:cs="Arial" w:hint="eastAsia"/>
          <w:sz w:val="24"/>
        </w:rPr>
        <w:t>后</w:t>
      </w:r>
      <w:r>
        <w:rPr>
          <w:rFonts w:ascii="宋体" w:hAnsi="宋体" w:cs="Arial" w:hint="eastAsia"/>
          <w:sz w:val="24"/>
        </w:rPr>
        <w:t>计算基金资产净值及各类基金份额净值，并按规定</w:t>
      </w:r>
      <w:r w:rsidR="00FD492F">
        <w:rPr>
          <w:rFonts w:ascii="宋体" w:hAnsi="宋体" w:cs="Arial" w:hint="eastAsia"/>
          <w:sz w:val="24"/>
        </w:rPr>
        <w:t>披露</w:t>
      </w:r>
      <w:r>
        <w:rPr>
          <w:rFonts w:ascii="宋体" w:hAnsi="宋体" w:cs="Arial" w:hint="eastAsia"/>
          <w:sz w:val="24"/>
        </w:rPr>
        <w:t>。</w:t>
      </w:r>
    </w:p>
    <w:p w14:paraId="6156EA24" w14:textId="0E89FEC8"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2.基金管理人应每个估值日对基金资产估值。但基金管理人根据法律法规或《基金合同》的规定暂停估值时除外。基金管理人每个估值日对基金资产估值后，将各类基金份额净值结果发送基金托管人，经基金托管人复核无误后，由基金管理人按规定对外公布。</w:t>
      </w:r>
    </w:p>
    <w:p w14:paraId="5E615931"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（二）基金资产估值方法和特殊情形的处理</w:t>
      </w:r>
    </w:p>
    <w:p w14:paraId="57A79F24" w14:textId="1C9CACA8"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本基金的估值对象为</w:t>
      </w:r>
      <w:r w:rsidR="00FD492F">
        <w:rPr>
          <w:bCs/>
          <w:sz w:val="24"/>
        </w:rPr>
        <w:t>基金所拥有的股票、债券</w:t>
      </w:r>
      <w:r w:rsidR="00FD492F">
        <w:rPr>
          <w:rFonts w:hint="eastAsia"/>
          <w:bCs/>
          <w:sz w:val="24"/>
        </w:rPr>
        <w:t>、证券投资基金、衍生工具</w:t>
      </w:r>
      <w:r w:rsidR="00FD492F">
        <w:rPr>
          <w:bCs/>
          <w:sz w:val="24"/>
        </w:rPr>
        <w:t>和银行存款本息、应收款项、其它投资等资产及负债。</w:t>
      </w:r>
    </w:p>
    <w:p w14:paraId="549108F6" w14:textId="77777777" w:rsidR="00353BD1" w:rsidRDefault="00064D22">
      <w:pPr>
        <w:spacing w:line="360" w:lineRule="auto"/>
        <w:ind w:firstLineChars="200" w:firstLine="480"/>
        <w:rPr>
          <w:rFonts w:asciiTheme="minorEastAsia" w:hAnsiTheme="minorEastAsia"/>
          <w:bCs/>
          <w:sz w:val="24"/>
        </w:rPr>
      </w:pPr>
      <w:r>
        <w:rPr>
          <w:rFonts w:asciiTheme="minorEastAsia" w:hAnsiTheme="minorEastAsia" w:hint="eastAsia"/>
          <w:bCs/>
          <w:sz w:val="24"/>
        </w:rPr>
        <w:t>本基金所持有的投资品种，按如下原则进行估值：</w:t>
      </w:r>
    </w:p>
    <w:p w14:paraId="2BAE87CC" w14:textId="77777777" w:rsidR="00C3597D" w:rsidRPr="00C3597D" w:rsidRDefault="00C3597D" w:rsidP="00C3597D">
      <w:pPr>
        <w:spacing w:line="360" w:lineRule="auto"/>
        <w:ind w:firstLineChars="200" w:firstLine="480"/>
        <w:rPr>
          <w:bCs/>
          <w:sz w:val="24"/>
        </w:rPr>
      </w:pPr>
      <w:r w:rsidRPr="00C3597D">
        <w:rPr>
          <w:rFonts w:hint="eastAsia"/>
          <w:bCs/>
          <w:sz w:val="24"/>
        </w:rPr>
        <w:t>1</w:t>
      </w:r>
      <w:r w:rsidRPr="00C3597D">
        <w:rPr>
          <w:rFonts w:hint="eastAsia"/>
          <w:bCs/>
          <w:sz w:val="24"/>
        </w:rPr>
        <w:t>、证券交易所上市的有价证券的估值</w:t>
      </w:r>
    </w:p>
    <w:p w14:paraId="619C693C" w14:textId="77777777" w:rsidR="00C3597D" w:rsidRPr="00C3597D" w:rsidRDefault="00C3597D" w:rsidP="00C3597D">
      <w:pPr>
        <w:spacing w:line="360" w:lineRule="auto"/>
        <w:ind w:firstLineChars="200" w:firstLine="480"/>
        <w:rPr>
          <w:bCs/>
          <w:sz w:val="24"/>
        </w:rPr>
      </w:pPr>
      <w:r w:rsidRPr="00C3597D">
        <w:rPr>
          <w:rFonts w:hint="eastAsia"/>
          <w:bCs/>
          <w:sz w:val="24"/>
        </w:rPr>
        <w:t>（</w:t>
      </w:r>
      <w:r w:rsidRPr="00C3597D">
        <w:rPr>
          <w:rFonts w:hint="eastAsia"/>
          <w:bCs/>
          <w:sz w:val="24"/>
        </w:rPr>
        <w:t>1</w:t>
      </w:r>
      <w:r w:rsidRPr="00C3597D">
        <w:rPr>
          <w:rFonts w:hint="eastAsia"/>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487E119E" w14:textId="77777777" w:rsidR="00C3597D" w:rsidRPr="00C3597D" w:rsidRDefault="00C3597D" w:rsidP="00C3597D">
      <w:pPr>
        <w:spacing w:line="360" w:lineRule="auto"/>
        <w:ind w:firstLineChars="200" w:firstLine="480"/>
        <w:rPr>
          <w:bCs/>
          <w:sz w:val="24"/>
        </w:rPr>
      </w:pPr>
      <w:r w:rsidRPr="00C3597D">
        <w:rPr>
          <w:rFonts w:hint="eastAsia"/>
          <w:bCs/>
          <w:sz w:val="24"/>
        </w:rPr>
        <w:t>（</w:t>
      </w:r>
      <w:r w:rsidRPr="00C3597D">
        <w:rPr>
          <w:rFonts w:hint="eastAsia"/>
          <w:bCs/>
          <w:sz w:val="24"/>
        </w:rPr>
        <w:t>2</w:t>
      </w:r>
      <w:r w:rsidRPr="00C3597D">
        <w:rPr>
          <w:rFonts w:hint="eastAsia"/>
          <w:bCs/>
          <w:sz w:val="24"/>
        </w:rPr>
        <w:t>）对在交易所市场上市交易或挂牌转让的不含权固定收益品种，选取估值日第三方估值机构提供的相应品种当日的估值全价进行估值，具体估值机构由基金管理人与基金托管人另行协商约定；</w:t>
      </w:r>
    </w:p>
    <w:p w14:paraId="2776A6AD" w14:textId="77777777" w:rsidR="00C3597D" w:rsidRPr="00C3597D" w:rsidRDefault="00C3597D" w:rsidP="00C3597D">
      <w:pPr>
        <w:spacing w:line="360" w:lineRule="auto"/>
        <w:ind w:firstLineChars="200" w:firstLine="480"/>
        <w:rPr>
          <w:bCs/>
          <w:sz w:val="24"/>
        </w:rPr>
      </w:pPr>
      <w:r w:rsidRPr="00C3597D">
        <w:rPr>
          <w:rFonts w:hint="eastAsia"/>
          <w:bCs/>
          <w:sz w:val="24"/>
        </w:rPr>
        <w:t>（</w:t>
      </w:r>
      <w:r w:rsidRPr="00C3597D">
        <w:rPr>
          <w:rFonts w:hint="eastAsia"/>
          <w:bCs/>
          <w:sz w:val="24"/>
        </w:rPr>
        <w:t>3</w:t>
      </w:r>
      <w:r w:rsidRPr="00C3597D">
        <w:rPr>
          <w:rFonts w:hint="eastAsia"/>
          <w:bCs/>
          <w:sz w:val="24"/>
        </w:rPr>
        <w:t>）对在交易所市场上市交易或挂牌转让的含权固定收益品种，选取估值日第三方估值机构提供的相应品种当日的唯一估值净价或推荐估值全价进行估值；对于含投资者回售权的固定收益品种，行使回售权的，在回售登记日至实际收款日期间选取第三方估值基准服务机构提供的相应品种的唯一估值全价或推荐估值全</w:t>
      </w:r>
      <w:r w:rsidRPr="00C3597D">
        <w:rPr>
          <w:rFonts w:hint="eastAsia"/>
          <w:bCs/>
          <w:sz w:val="24"/>
        </w:rPr>
        <w:lastRenderedPageBreak/>
        <w:t>价，同时应充分考虑发行人的信用风险变化对公允价值的影响；回售登记期截止日（含当日）后未行使回售权的按照长待偿期所对应的价格进行估值；</w:t>
      </w:r>
    </w:p>
    <w:p w14:paraId="0DE5113E" w14:textId="77777777" w:rsidR="00C3597D" w:rsidRPr="00C3597D" w:rsidRDefault="00C3597D" w:rsidP="00C3597D">
      <w:pPr>
        <w:spacing w:line="360" w:lineRule="auto"/>
        <w:ind w:firstLineChars="200" w:firstLine="480"/>
        <w:rPr>
          <w:bCs/>
          <w:sz w:val="24"/>
        </w:rPr>
      </w:pPr>
      <w:r w:rsidRPr="00C3597D">
        <w:rPr>
          <w:rFonts w:hint="eastAsia"/>
          <w:bCs/>
          <w:sz w:val="24"/>
        </w:rPr>
        <w:t>（</w:t>
      </w:r>
      <w:r w:rsidRPr="00C3597D">
        <w:rPr>
          <w:rFonts w:hint="eastAsia"/>
          <w:bCs/>
          <w:sz w:val="24"/>
        </w:rPr>
        <w:t>4</w:t>
      </w:r>
      <w:r w:rsidRPr="00C3597D">
        <w:rPr>
          <w:rFonts w:hint="eastAsia"/>
          <w:bCs/>
          <w:sz w:val="24"/>
        </w:rPr>
        <w:t>）交易所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27D33B8F" w14:textId="77777777" w:rsidR="00C3597D" w:rsidRPr="00C3597D" w:rsidRDefault="00C3597D" w:rsidP="00C3597D">
      <w:pPr>
        <w:spacing w:line="360" w:lineRule="auto"/>
        <w:ind w:firstLineChars="200" w:firstLine="480"/>
        <w:rPr>
          <w:bCs/>
          <w:sz w:val="24"/>
        </w:rPr>
      </w:pPr>
      <w:r w:rsidRPr="00C3597D">
        <w:rPr>
          <w:rFonts w:hint="eastAsia"/>
          <w:bCs/>
          <w:sz w:val="24"/>
        </w:rPr>
        <w:t>（</w:t>
      </w:r>
      <w:r w:rsidRPr="00C3597D">
        <w:rPr>
          <w:rFonts w:hint="eastAsia"/>
          <w:bCs/>
          <w:sz w:val="24"/>
        </w:rPr>
        <w:t>5</w:t>
      </w:r>
      <w:r w:rsidRPr="00C3597D">
        <w:rPr>
          <w:rFonts w:hint="eastAsia"/>
          <w:bCs/>
          <w:sz w:val="24"/>
        </w:rPr>
        <w:t>）交易所上市不存在活跃市场的有价证券，采用估值技术确定公允价值。交易所市场挂牌转让的资产支持证券，采用估值技术确定公允价值；</w:t>
      </w:r>
    </w:p>
    <w:p w14:paraId="6DA0B417" w14:textId="77777777" w:rsidR="00C3597D" w:rsidRPr="00C3597D" w:rsidRDefault="00C3597D" w:rsidP="00C3597D">
      <w:pPr>
        <w:spacing w:line="360" w:lineRule="auto"/>
        <w:ind w:firstLineChars="200" w:firstLine="480"/>
        <w:rPr>
          <w:bCs/>
          <w:sz w:val="24"/>
        </w:rPr>
      </w:pPr>
      <w:r w:rsidRPr="00C3597D">
        <w:rPr>
          <w:rFonts w:hint="eastAsia"/>
          <w:bCs/>
          <w:sz w:val="24"/>
        </w:rPr>
        <w:t>2</w:t>
      </w:r>
      <w:r w:rsidRPr="00C3597D">
        <w:rPr>
          <w:rFonts w:hint="eastAsia"/>
          <w:bCs/>
          <w:sz w:val="24"/>
        </w:rPr>
        <w:t>、处于未上市期间或流通受限的有价证券应区分如下情况处理：</w:t>
      </w:r>
    </w:p>
    <w:p w14:paraId="4929B9B6" w14:textId="77777777" w:rsidR="00C3597D" w:rsidRPr="00C3597D" w:rsidRDefault="00C3597D" w:rsidP="00C3597D">
      <w:pPr>
        <w:spacing w:line="360" w:lineRule="auto"/>
        <w:ind w:firstLineChars="200" w:firstLine="480"/>
        <w:rPr>
          <w:bCs/>
          <w:sz w:val="24"/>
        </w:rPr>
      </w:pPr>
      <w:r w:rsidRPr="00C3597D">
        <w:rPr>
          <w:rFonts w:hint="eastAsia"/>
          <w:bCs/>
          <w:sz w:val="24"/>
        </w:rPr>
        <w:t>（</w:t>
      </w:r>
      <w:r w:rsidRPr="00C3597D">
        <w:rPr>
          <w:rFonts w:hint="eastAsia"/>
          <w:bCs/>
          <w:sz w:val="24"/>
        </w:rPr>
        <w:t>1</w:t>
      </w:r>
      <w:r w:rsidRPr="00C3597D">
        <w:rPr>
          <w:rFonts w:hint="eastAsia"/>
          <w:bCs/>
          <w:sz w:val="24"/>
        </w:rPr>
        <w:t>）送股、转增股、配股和公开增发的新股，按估值日在证券交易所挂牌的同一股票的估值方法估值；该日无交易的，以最近一日的市价（收盘价）估值；</w:t>
      </w:r>
      <w:r w:rsidRPr="00C3597D">
        <w:rPr>
          <w:rFonts w:hint="eastAsia"/>
          <w:bCs/>
          <w:sz w:val="24"/>
        </w:rPr>
        <w:t xml:space="preserve"> </w:t>
      </w:r>
    </w:p>
    <w:p w14:paraId="60C64F8F" w14:textId="77777777" w:rsidR="00C3597D" w:rsidRPr="00C3597D" w:rsidRDefault="00C3597D" w:rsidP="00C3597D">
      <w:pPr>
        <w:spacing w:line="360" w:lineRule="auto"/>
        <w:ind w:firstLineChars="200" w:firstLine="480"/>
        <w:rPr>
          <w:bCs/>
          <w:sz w:val="24"/>
        </w:rPr>
      </w:pPr>
      <w:r w:rsidRPr="00C3597D">
        <w:rPr>
          <w:rFonts w:hint="eastAsia"/>
          <w:bCs/>
          <w:sz w:val="24"/>
        </w:rPr>
        <w:t>（</w:t>
      </w:r>
      <w:r w:rsidRPr="00C3597D">
        <w:rPr>
          <w:rFonts w:hint="eastAsia"/>
          <w:bCs/>
          <w:sz w:val="24"/>
        </w:rPr>
        <w:t>2</w:t>
      </w:r>
      <w:r w:rsidRPr="00C3597D">
        <w:rPr>
          <w:rFonts w:hint="eastAsia"/>
          <w:bCs/>
          <w:sz w:val="24"/>
        </w:rPr>
        <w:t>）首次公开发行未上市的股票，采用估值技术确定公允价值；</w:t>
      </w:r>
      <w:r w:rsidRPr="00C3597D">
        <w:rPr>
          <w:rFonts w:hint="eastAsia"/>
          <w:bCs/>
          <w:sz w:val="24"/>
        </w:rPr>
        <w:t xml:space="preserve"> </w:t>
      </w:r>
    </w:p>
    <w:p w14:paraId="32E715FD" w14:textId="77777777" w:rsidR="00C3597D" w:rsidRPr="00C3597D" w:rsidRDefault="00C3597D" w:rsidP="00C3597D">
      <w:pPr>
        <w:spacing w:line="360" w:lineRule="auto"/>
        <w:ind w:firstLineChars="200" w:firstLine="480"/>
        <w:rPr>
          <w:bCs/>
          <w:sz w:val="24"/>
        </w:rPr>
      </w:pPr>
      <w:r w:rsidRPr="00C3597D">
        <w:rPr>
          <w:rFonts w:hint="eastAsia"/>
          <w:bCs/>
          <w:sz w:val="24"/>
        </w:rPr>
        <w:t>（</w:t>
      </w:r>
      <w:r w:rsidRPr="00C3597D">
        <w:rPr>
          <w:rFonts w:hint="eastAsia"/>
          <w:bCs/>
          <w:sz w:val="24"/>
        </w:rPr>
        <w:t>3</w:t>
      </w:r>
      <w:r w:rsidRPr="00C3597D">
        <w:rPr>
          <w:rFonts w:hint="eastAsia"/>
          <w:bCs/>
          <w:sz w:val="24"/>
        </w:rPr>
        <w:t>）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66435A1B" w14:textId="77777777" w:rsidR="00C3597D" w:rsidRPr="00C3597D" w:rsidRDefault="00C3597D" w:rsidP="00C3597D">
      <w:pPr>
        <w:spacing w:line="360" w:lineRule="auto"/>
        <w:ind w:firstLineChars="200" w:firstLine="480"/>
        <w:rPr>
          <w:bCs/>
          <w:sz w:val="24"/>
        </w:rPr>
      </w:pPr>
      <w:r w:rsidRPr="00C3597D">
        <w:rPr>
          <w:rFonts w:hint="eastAsia"/>
          <w:bCs/>
          <w:sz w:val="24"/>
        </w:rPr>
        <w:t>（</w:t>
      </w:r>
      <w:r w:rsidRPr="00C3597D">
        <w:rPr>
          <w:rFonts w:hint="eastAsia"/>
          <w:bCs/>
          <w:sz w:val="24"/>
        </w:rPr>
        <w:t>4</w:t>
      </w:r>
      <w:r w:rsidRPr="00C3597D">
        <w:rPr>
          <w:rFonts w:hint="eastAsia"/>
          <w:bCs/>
          <w:sz w:val="24"/>
        </w:rPr>
        <w:t>）交易所未上市或未挂牌转让且不存在活跃市场的固定收益品种，应采用在当前情况下适用并且有足够可利用数据和其他信息支持的估值技术确定其公允价值。</w:t>
      </w:r>
    </w:p>
    <w:p w14:paraId="40E4BDC9" w14:textId="77777777" w:rsidR="00C3597D" w:rsidRPr="00C3597D" w:rsidRDefault="00C3597D" w:rsidP="00C3597D">
      <w:pPr>
        <w:spacing w:line="360" w:lineRule="auto"/>
        <w:ind w:firstLineChars="200" w:firstLine="480"/>
        <w:rPr>
          <w:bCs/>
          <w:sz w:val="24"/>
        </w:rPr>
      </w:pPr>
      <w:r w:rsidRPr="00C3597D">
        <w:rPr>
          <w:rFonts w:hint="eastAsia"/>
          <w:bCs/>
          <w:sz w:val="24"/>
        </w:rPr>
        <w:t>3</w:t>
      </w:r>
      <w:r w:rsidRPr="00C3597D">
        <w:rPr>
          <w:rFonts w:hint="eastAsia"/>
          <w:bCs/>
          <w:sz w:val="24"/>
        </w:rPr>
        <w:t>、全国银行间市场交易的固定收益品种的估值</w:t>
      </w:r>
    </w:p>
    <w:p w14:paraId="2251AB27" w14:textId="77777777" w:rsidR="00C3597D" w:rsidRPr="00C3597D" w:rsidRDefault="00C3597D" w:rsidP="00C3597D">
      <w:pPr>
        <w:spacing w:line="360" w:lineRule="auto"/>
        <w:ind w:firstLineChars="200" w:firstLine="480"/>
        <w:rPr>
          <w:bCs/>
          <w:sz w:val="24"/>
        </w:rPr>
      </w:pPr>
      <w:r w:rsidRPr="00C3597D">
        <w:rPr>
          <w:rFonts w:hint="eastAsia"/>
          <w:bCs/>
          <w:sz w:val="24"/>
        </w:rPr>
        <w:t>（</w:t>
      </w:r>
      <w:r w:rsidRPr="00C3597D">
        <w:rPr>
          <w:rFonts w:hint="eastAsia"/>
          <w:bCs/>
          <w:sz w:val="24"/>
        </w:rPr>
        <w:t>1</w:t>
      </w:r>
      <w:r w:rsidRPr="00C3597D">
        <w:rPr>
          <w:rFonts w:hint="eastAsia"/>
          <w:bCs/>
          <w:sz w:val="24"/>
        </w:rPr>
        <w:t>）银行间市场交易不含权的固定收益品种，选取第三方估值机构提供的相应品种当日的估值全价进行估值。对银行间市场上含权的固定收益品种，选取第三方估值机构提供的相应品种当日的唯一估值全价或推荐估值全价；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p>
    <w:p w14:paraId="321FB68F" w14:textId="77777777" w:rsidR="00C3597D" w:rsidRPr="00C3597D" w:rsidRDefault="00C3597D" w:rsidP="00C3597D">
      <w:pPr>
        <w:spacing w:line="360" w:lineRule="auto"/>
        <w:ind w:firstLineChars="200" w:firstLine="480"/>
        <w:rPr>
          <w:bCs/>
          <w:sz w:val="24"/>
        </w:rPr>
      </w:pPr>
      <w:r w:rsidRPr="00C3597D">
        <w:rPr>
          <w:rFonts w:hint="eastAsia"/>
          <w:bCs/>
          <w:sz w:val="24"/>
        </w:rPr>
        <w:t>（</w:t>
      </w:r>
      <w:r w:rsidRPr="00C3597D">
        <w:rPr>
          <w:rFonts w:hint="eastAsia"/>
          <w:bCs/>
          <w:sz w:val="24"/>
        </w:rPr>
        <w:t>2</w:t>
      </w:r>
      <w:r w:rsidRPr="00C3597D">
        <w:rPr>
          <w:rFonts w:hint="eastAsia"/>
          <w:bCs/>
          <w:sz w:val="24"/>
        </w:rPr>
        <w:t>）对全国银行间市场未上市或未挂牌转让且不存在活跃市场的固定收益品种，应采用在当前情况下适用并且有足够可利用数据和其他信息支持的估值技术确定其公允价值。</w:t>
      </w:r>
    </w:p>
    <w:p w14:paraId="05AB590E" w14:textId="77777777" w:rsidR="00C3597D" w:rsidRPr="00C3597D" w:rsidRDefault="00C3597D" w:rsidP="00C3597D">
      <w:pPr>
        <w:spacing w:line="360" w:lineRule="auto"/>
        <w:ind w:firstLineChars="200" w:firstLine="480"/>
        <w:rPr>
          <w:bCs/>
          <w:sz w:val="24"/>
        </w:rPr>
      </w:pPr>
      <w:r w:rsidRPr="00C3597D">
        <w:rPr>
          <w:rFonts w:hint="eastAsia"/>
          <w:bCs/>
          <w:sz w:val="24"/>
        </w:rPr>
        <w:t>4</w:t>
      </w:r>
      <w:r w:rsidRPr="00C3597D">
        <w:rPr>
          <w:rFonts w:hint="eastAsia"/>
          <w:bCs/>
          <w:sz w:val="24"/>
        </w:rPr>
        <w:t>、对于发行人已破产、发行人未能按时足额偿付本金或利息，或者有其它可</w:t>
      </w:r>
      <w:r w:rsidRPr="00C3597D">
        <w:rPr>
          <w:rFonts w:hint="eastAsia"/>
          <w:bCs/>
          <w:sz w:val="24"/>
        </w:rPr>
        <w:lastRenderedPageBreak/>
        <w:t>靠信息表明本金或利息无法按时足额偿付的债券投资品种，第三方估值基准服务机构可在提供推荐价格的同时提供价格区间作为公允价值的参考范围以及公允价值存在重大不确定性的相关提示。基金管理人在与托管人协商一致后，可采用价格区间中的数据作为该债券投资品种的公允价值。</w:t>
      </w:r>
    </w:p>
    <w:p w14:paraId="19841E0B" w14:textId="77777777" w:rsidR="00C3597D" w:rsidRPr="00C3597D" w:rsidRDefault="00C3597D" w:rsidP="00C3597D">
      <w:pPr>
        <w:spacing w:line="360" w:lineRule="auto"/>
        <w:ind w:firstLineChars="200" w:firstLine="480"/>
        <w:rPr>
          <w:bCs/>
          <w:sz w:val="24"/>
        </w:rPr>
      </w:pPr>
      <w:r w:rsidRPr="00C3597D">
        <w:rPr>
          <w:rFonts w:hint="eastAsia"/>
          <w:bCs/>
          <w:sz w:val="24"/>
        </w:rPr>
        <w:t>5</w:t>
      </w:r>
      <w:r w:rsidRPr="00C3597D">
        <w:rPr>
          <w:rFonts w:hint="eastAsia"/>
          <w:bCs/>
          <w:sz w:val="24"/>
        </w:rPr>
        <w:t>、基金估值方法</w:t>
      </w:r>
    </w:p>
    <w:p w14:paraId="7C81490F" w14:textId="77777777" w:rsidR="00C3597D" w:rsidRPr="00C3597D" w:rsidRDefault="00C3597D" w:rsidP="00C3597D">
      <w:pPr>
        <w:spacing w:line="360" w:lineRule="auto"/>
        <w:ind w:firstLineChars="200" w:firstLine="480"/>
        <w:rPr>
          <w:bCs/>
          <w:sz w:val="24"/>
        </w:rPr>
      </w:pPr>
      <w:r w:rsidRPr="00C3597D">
        <w:rPr>
          <w:rFonts w:hint="eastAsia"/>
          <w:bCs/>
          <w:sz w:val="24"/>
        </w:rPr>
        <w:t>（</w:t>
      </w:r>
      <w:r w:rsidRPr="00C3597D">
        <w:rPr>
          <w:rFonts w:hint="eastAsia"/>
          <w:bCs/>
          <w:sz w:val="24"/>
        </w:rPr>
        <w:t>1</w:t>
      </w:r>
      <w:r w:rsidRPr="00C3597D">
        <w:rPr>
          <w:rFonts w:hint="eastAsia"/>
          <w:bCs/>
          <w:sz w:val="24"/>
        </w:rPr>
        <w:t>）非上市基金估值</w:t>
      </w:r>
    </w:p>
    <w:p w14:paraId="06DCC614" w14:textId="77777777" w:rsidR="00C3597D" w:rsidRPr="00C3597D" w:rsidRDefault="00C3597D" w:rsidP="00C3597D">
      <w:pPr>
        <w:spacing w:line="360" w:lineRule="auto"/>
        <w:ind w:firstLineChars="200" w:firstLine="480"/>
        <w:rPr>
          <w:bCs/>
          <w:sz w:val="24"/>
        </w:rPr>
      </w:pPr>
      <w:r w:rsidRPr="00C3597D">
        <w:rPr>
          <w:rFonts w:hint="eastAsia"/>
          <w:bCs/>
          <w:sz w:val="24"/>
        </w:rPr>
        <w:t>本基金投资的境内非货币市场基金，按所投资基金估值日的基金份额净值估值。</w:t>
      </w:r>
    </w:p>
    <w:p w14:paraId="5EA7AA08" w14:textId="77777777" w:rsidR="00C3597D" w:rsidRPr="00C3597D" w:rsidRDefault="00C3597D" w:rsidP="00C3597D">
      <w:pPr>
        <w:spacing w:line="360" w:lineRule="auto"/>
        <w:ind w:firstLineChars="200" w:firstLine="480"/>
        <w:rPr>
          <w:bCs/>
          <w:sz w:val="24"/>
        </w:rPr>
      </w:pPr>
      <w:r w:rsidRPr="00C3597D">
        <w:rPr>
          <w:rFonts w:hint="eastAsia"/>
          <w:bCs/>
          <w:sz w:val="24"/>
        </w:rPr>
        <w:t>（</w:t>
      </w:r>
      <w:r w:rsidRPr="00C3597D">
        <w:rPr>
          <w:rFonts w:hint="eastAsia"/>
          <w:bCs/>
          <w:sz w:val="24"/>
        </w:rPr>
        <w:t>2</w:t>
      </w:r>
      <w:r w:rsidRPr="00C3597D">
        <w:rPr>
          <w:rFonts w:hint="eastAsia"/>
          <w:bCs/>
          <w:sz w:val="24"/>
        </w:rPr>
        <w:t>）上市基金估值</w:t>
      </w:r>
    </w:p>
    <w:p w14:paraId="6132DAA8" w14:textId="77777777" w:rsidR="00C3597D" w:rsidRPr="00C3597D" w:rsidRDefault="00C3597D" w:rsidP="00C3597D">
      <w:pPr>
        <w:spacing w:line="360" w:lineRule="auto"/>
        <w:ind w:firstLineChars="200" w:firstLine="480"/>
        <w:rPr>
          <w:bCs/>
          <w:sz w:val="24"/>
        </w:rPr>
      </w:pPr>
      <w:r w:rsidRPr="00C3597D">
        <w:rPr>
          <w:rFonts w:hint="eastAsia"/>
          <w:bCs/>
          <w:sz w:val="24"/>
        </w:rPr>
        <w:t>1</w:t>
      </w:r>
      <w:r w:rsidRPr="00C3597D">
        <w:rPr>
          <w:rFonts w:hint="eastAsia"/>
          <w:bCs/>
          <w:sz w:val="24"/>
        </w:rPr>
        <w:t>）本基金投资的</w:t>
      </w:r>
      <w:r w:rsidRPr="00C3597D">
        <w:rPr>
          <w:rFonts w:hint="eastAsia"/>
          <w:bCs/>
          <w:sz w:val="24"/>
        </w:rPr>
        <w:t>ETF</w:t>
      </w:r>
      <w:r w:rsidRPr="00C3597D">
        <w:rPr>
          <w:rFonts w:hint="eastAsia"/>
          <w:bCs/>
          <w:sz w:val="24"/>
        </w:rPr>
        <w:t>基金、境内上市定期开放式基金、封闭式基金，按所投资基金估值日的收盘价估值。</w:t>
      </w:r>
    </w:p>
    <w:p w14:paraId="76FB527E" w14:textId="77777777" w:rsidR="00C3597D" w:rsidRPr="00C3597D" w:rsidRDefault="00C3597D" w:rsidP="00C3597D">
      <w:pPr>
        <w:spacing w:line="360" w:lineRule="auto"/>
        <w:ind w:firstLineChars="200" w:firstLine="480"/>
        <w:rPr>
          <w:bCs/>
          <w:sz w:val="24"/>
        </w:rPr>
      </w:pPr>
      <w:r w:rsidRPr="00C3597D">
        <w:rPr>
          <w:rFonts w:hint="eastAsia"/>
          <w:bCs/>
          <w:sz w:val="24"/>
        </w:rPr>
        <w:t>2</w:t>
      </w:r>
      <w:r w:rsidRPr="00C3597D">
        <w:rPr>
          <w:rFonts w:hint="eastAsia"/>
          <w:bCs/>
          <w:sz w:val="24"/>
        </w:rPr>
        <w:t>）本基金投资的境内上市开放式基金（</w:t>
      </w:r>
      <w:r w:rsidRPr="00C3597D">
        <w:rPr>
          <w:rFonts w:hint="eastAsia"/>
          <w:bCs/>
          <w:sz w:val="24"/>
        </w:rPr>
        <w:t>LOF</w:t>
      </w:r>
      <w:r w:rsidRPr="00C3597D">
        <w:rPr>
          <w:rFonts w:hint="eastAsia"/>
          <w:bCs/>
          <w:sz w:val="24"/>
        </w:rPr>
        <w:t>），按所投资基金估值日的基金份额净值估值。</w:t>
      </w:r>
    </w:p>
    <w:p w14:paraId="2298A875" w14:textId="77777777" w:rsidR="00C3597D" w:rsidRPr="00C3597D" w:rsidRDefault="00C3597D" w:rsidP="00C3597D">
      <w:pPr>
        <w:spacing w:line="360" w:lineRule="auto"/>
        <w:ind w:firstLineChars="200" w:firstLine="480"/>
        <w:rPr>
          <w:bCs/>
          <w:sz w:val="24"/>
        </w:rPr>
      </w:pPr>
      <w:r w:rsidRPr="00C3597D">
        <w:rPr>
          <w:rFonts w:hint="eastAsia"/>
          <w:bCs/>
          <w:sz w:val="24"/>
        </w:rPr>
        <w:t>3</w:t>
      </w:r>
      <w:r w:rsidRPr="00C3597D">
        <w:rPr>
          <w:rFonts w:hint="eastAsia"/>
          <w:bCs/>
          <w:sz w:val="24"/>
        </w:rPr>
        <w:t>）本基金投资的交易所交易型开放式指数基金（</w:t>
      </w:r>
      <w:r w:rsidRPr="00C3597D">
        <w:rPr>
          <w:rFonts w:hint="eastAsia"/>
          <w:bCs/>
          <w:sz w:val="24"/>
        </w:rPr>
        <w:t>ETF</w:t>
      </w:r>
      <w:r w:rsidRPr="00C3597D">
        <w:rPr>
          <w:rFonts w:hint="eastAsia"/>
          <w:bCs/>
          <w:sz w:val="24"/>
        </w:rPr>
        <w:t>）、境内上市开放式基金（</w:t>
      </w:r>
      <w:r w:rsidRPr="00C3597D">
        <w:rPr>
          <w:rFonts w:hint="eastAsia"/>
          <w:bCs/>
          <w:sz w:val="24"/>
        </w:rPr>
        <w:t>LOF</w:t>
      </w:r>
      <w:r w:rsidRPr="00C3597D">
        <w:rPr>
          <w:rFonts w:hint="eastAsia"/>
          <w:bCs/>
          <w:sz w:val="24"/>
        </w:rPr>
        <w:t>）、境内上市的其他开放式基金等提供二级市场交易方式和一级市场份额申购赎回方式的标的基金，可根据投资份额的计划退出方式选取合理的估值价格。</w:t>
      </w:r>
    </w:p>
    <w:p w14:paraId="55834D92" w14:textId="77777777" w:rsidR="00C3597D" w:rsidRPr="00C3597D" w:rsidRDefault="00C3597D" w:rsidP="00C3597D">
      <w:pPr>
        <w:spacing w:line="360" w:lineRule="auto"/>
        <w:ind w:firstLineChars="200" w:firstLine="480"/>
        <w:rPr>
          <w:bCs/>
          <w:sz w:val="24"/>
        </w:rPr>
      </w:pPr>
      <w:r w:rsidRPr="00C3597D">
        <w:rPr>
          <w:rFonts w:hint="eastAsia"/>
          <w:bCs/>
          <w:sz w:val="24"/>
        </w:rPr>
        <w:t>（</w:t>
      </w:r>
      <w:r w:rsidRPr="00C3597D">
        <w:rPr>
          <w:rFonts w:hint="eastAsia"/>
          <w:bCs/>
          <w:sz w:val="24"/>
        </w:rPr>
        <w:t>3</w:t>
      </w:r>
      <w:r w:rsidRPr="00C3597D">
        <w:rPr>
          <w:rFonts w:hint="eastAsia"/>
          <w:bCs/>
          <w:sz w:val="24"/>
        </w:rPr>
        <w:t>）如遇所投资基金不公布基金份额净值、进行折算或拆分、估值日无交易等特殊情况，基金管理人根据以下原则进行估值：</w:t>
      </w:r>
    </w:p>
    <w:p w14:paraId="2943B54E" w14:textId="77777777" w:rsidR="00C3597D" w:rsidRPr="00C3597D" w:rsidRDefault="00C3597D" w:rsidP="00C3597D">
      <w:pPr>
        <w:spacing w:line="360" w:lineRule="auto"/>
        <w:ind w:firstLineChars="200" w:firstLine="480"/>
        <w:rPr>
          <w:bCs/>
          <w:sz w:val="24"/>
        </w:rPr>
      </w:pPr>
      <w:r w:rsidRPr="00C3597D">
        <w:rPr>
          <w:rFonts w:hint="eastAsia"/>
          <w:bCs/>
          <w:sz w:val="24"/>
        </w:rPr>
        <w:t>1</w:t>
      </w:r>
      <w:r w:rsidRPr="00C3597D">
        <w:rPr>
          <w:rFonts w:hint="eastAsia"/>
          <w:bCs/>
          <w:sz w:val="24"/>
        </w:rPr>
        <w:t>）以所投资基金的基金份额净值估值的，若所投资基金与本基金估值频率一致但未公布估值日基金份额净值，按其最近公布的基金份额净值为基础估值。</w:t>
      </w:r>
    </w:p>
    <w:p w14:paraId="258F2DF4" w14:textId="77777777" w:rsidR="00C3597D" w:rsidRPr="00C3597D" w:rsidRDefault="00C3597D" w:rsidP="00C3597D">
      <w:pPr>
        <w:spacing w:line="360" w:lineRule="auto"/>
        <w:ind w:firstLineChars="200" w:firstLine="480"/>
        <w:rPr>
          <w:bCs/>
          <w:sz w:val="24"/>
        </w:rPr>
      </w:pPr>
      <w:r w:rsidRPr="00C3597D">
        <w:rPr>
          <w:rFonts w:hint="eastAsia"/>
          <w:bCs/>
          <w:sz w:val="24"/>
        </w:rPr>
        <w:t>2</w:t>
      </w:r>
      <w:r w:rsidRPr="00C3597D">
        <w:rPr>
          <w:rFonts w:hint="eastAsia"/>
          <w:bCs/>
          <w:sz w:val="24"/>
        </w:rPr>
        <w:t>）以所投资基金的收盘价估值的，若估值日无交易，且最近交易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00E2C176" w14:textId="77777777" w:rsidR="00C3597D" w:rsidRPr="00C3597D" w:rsidRDefault="00C3597D" w:rsidP="00C3597D">
      <w:pPr>
        <w:spacing w:line="360" w:lineRule="auto"/>
        <w:ind w:firstLineChars="200" w:firstLine="480"/>
        <w:rPr>
          <w:bCs/>
          <w:sz w:val="24"/>
        </w:rPr>
      </w:pPr>
      <w:r w:rsidRPr="00C3597D">
        <w:rPr>
          <w:rFonts w:hint="eastAsia"/>
          <w:bCs/>
          <w:sz w:val="24"/>
        </w:rPr>
        <w:t>3</w:t>
      </w:r>
      <w:r w:rsidRPr="00C3597D">
        <w:rPr>
          <w:rFonts w:hint="eastAsia"/>
          <w:bCs/>
          <w:sz w:val="24"/>
        </w:rPr>
        <w:t>）如果所投资基金前一估值日至估值日期间发生分红除权、折算或拆分，基金管理人应根据基金份额净值或收盘价、单位及基金份额分红金额、折算拆分比例、持仓份额等因素合理确定公允价值。</w:t>
      </w:r>
    </w:p>
    <w:p w14:paraId="16247ADA" w14:textId="77777777" w:rsidR="00C3597D" w:rsidRPr="00C3597D" w:rsidRDefault="00C3597D" w:rsidP="00C3597D">
      <w:pPr>
        <w:spacing w:line="360" w:lineRule="auto"/>
        <w:ind w:firstLineChars="200" w:firstLine="480"/>
        <w:rPr>
          <w:bCs/>
          <w:sz w:val="24"/>
        </w:rPr>
      </w:pPr>
      <w:r w:rsidRPr="00C3597D">
        <w:rPr>
          <w:rFonts w:hint="eastAsia"/>
          <w:bCs/>
          <w:sz w:val="24"/>
        </w:rPr>
        <w:t>6</w:t>
      </w:r>
      <w:r w:rsidRPr="00C3597D">
        <w:rPr>
          <w:rFonts w:hint="eastAsia"/>
          <w:bCs/>
          <w:sz w:val="24"/>
        </w:rPr>
        <w:t>、信用衍生品按第三方估值机构提供的当日估值价格进行估值，但管理人依法承担的责任，不因委托而免除；选定的第三方估值机构未提供估值价格时，按照有关法律法规及企业会计准则要求，采用合理估值技术确定公允价值。</w:t>
      </w:r>
    </w:p>
    <w:p w14:paraId="1089AC68" w14:textId="77777777" w:rsidR="00C3597D" w:rsidRPr="00C3597D" w:rsidRDefault="00C3597D" w:rsidP="00C3597D">
      <w:pPr>
        <w:spacing w:line="360" w:lineRule="auto"/>
        <w:ind w:firstLineChars="200" w:firstLine="480"/>
        <w:rPr>
          <w:bCs/>
          <w:sz w:val="24"/>
        </w:rPr>
      </w:pPr>
      <w:r w:rsidRPr="00C3597D">
        <w:rPr>
          <w:rFonts w:hint="eastAsia"/>
          <w:bCs/>
          <w:sz w:val="24"/>
        </w:rPr>
        <w:lastRenderedPageBreak/>
        <w:t>7</w:t>
      </w:r>
      <w:r w:rsidRPr="00C3597D">
        <w:rPr>
          <w:rFonts w:hint="eastAsia"/>
          <w:bCs/>
          <w:sz w:val="24"/>
        </w:rPr>
        <w:t>、同一证券同时在两个或两个以上市场交易的，按证券所处的市场分别估值。</w:t>
      </w:r>
    </w:p>
    <w:p w14:paraId="0CA7BB08" w14:textId="77777777" w:rsidR="00C3597D" w:rsidRPr="00C3597D" w:rsidRDefault="00C3597D" w:rsidP="00C3597D">
      <w:pPr>
        <w:spacing w:line="360" w:lineRule="auto"/>
        <w:ind w:firstLineChars="200" w:firstLine="480"/>
        <w:rPr>
          <w:bCs/>
          <w:sz w:val="24"/>
        </w:rPr>
      </w:pPr>
      <w:r w:rsidRPr="00C3597D">
        <w:rPr>
          <w:rFonts w:hint="eastAsia"/>
          <w:bCs/>
          <w:sz w:val="24"/>
        </w:rPr>
        <w:t>8</w:t>
      </w:r>
      <w:r w:rsidRPr="00C3597D">
        <w:rPr>
          <w:rFonts w:hint="eastAsia"/>
          <w:bCs/>
          <w:sz w:val="24"/>
        </w:rPr>
        <w:t>、期货合约以估值当日结算价进行估值，估值当日无结算价的，且最近交易日后经济环境未发生重大变化的，采用最近交易日结算价估值。</w:t>
      </w:r>
    </w:p>
    <w:p w14:paraId="19BEE84E" w14:textId="77777777" w:rsidR="00C3597D" w:rsidRPr="00C3597D" w:rsidRDefault="00C3597D" w:rsidP="00C3597D">
      <w:pPr>
        <w:spacing w:line="360" w:lineRule="auto"/>
        <w:ind w:firstLineChars="200" w:firstLine="480"/>
        <w:rPr>
          <w:bCs/>
          <w:sz w:val="24"/>
        </w:rPr>
      </w:pPr>
      <w:r w:rsidRPr="00C3597D">
        <w:rPr>
          <w:rFonts w:hint="eastAsia"/>
          <w:bCs/>
          <w:sz w:val="24"/>
        </w:rPr>
        <w:t>9</w:t>
      </w:r>
      <w:r w:rsidRPr="00C3597D">
        <w:rPr>
          <w:rFonts w:hint="eastAsia"/>
          <w:bCs/>
          <w:sz w:val="24"/>
        </w:rPr>
        <w:t>、本基金投资股票期权，根据相关法律法规以及监管部门的规定估值。</w:t>
      </w:r>
    </w:p>
    <w:p w14:paraId="4BE2B19E" w14:textId="77777777" w:rsidR="00C3597D" w:rsidRPr="00C3597D" w:rsidRDefault="00C3597D" w:rsidP="00C3597D">
      <w:pPr>
        <w:spacing w:line="360" w:lineRule="auto"/>
        <w:ind w:firstLineChars="200" w:firstLine="480"/>
        <w:rPr>
          <w:bCs/>
          <w:sz w:val="24"/>
        </w:rPr>
      </w:pPr>
      <w:r w:rsidRPr="00C3597D">
        <w:rPr>
          <w:rFonts w:hint="eastAsia"/>
          <w:bCs/>
          <w:sz w:val="24"/>
        </w:rPr>
        <w:t>10</w:t>
      </w:r>
      <w:r w:rsidRPr="00C3597D">
        <w:rPr>
          <w:rFonts w:hint="eastAsia"/>
          <w:bCs/>
          <w:sz w:val="24"/>
        </w:rPr>
        <w:t>、当本基金发生大额申购或赎回情形时，基金管理人可以采用摆动定价机制，以确保基金估值的公平性。</w:t>
      </w:r>
    </w:p>
    <w:p w14:paraId="52C4E236" w14:textId="77777777" w:rsidR="00C3597D" w:rsidRPr="00C3597D" w:rsidRDefault="00C3597D" w:rsidP="00C3597D">
      <w:pPr>
        <w:spacing w:line="360" w:lineRule="auto"/>
        <w:ind w:firstLineChars="200" w:firstLine="480"/>
        <w:rPr>
          <w:bCs/>
          <w:sz w:val="24"/>
        </w:rPr>
      </w:pPr>
      <w:r w:rsidRPr="00C3597D">
        <w:rPr>
          <w:rFonts w:hint="eastAsia"/>
          <w:bCs/>
          <w:sz w:val="24"/>
        </w:rPr>
        <w:t>11</w:t>
      </w:r>
      <w:r w:rsidRPr="00C3597D">
        <w:rPr>
          <w:rFonts w:hint="eastAsia"/>
          <w:bCs/>
          <w:sz w:val="24"/>
        </w:rPr>
        <w:t>、本基金投资存托凭证的估值核算，依照境内上市交易的股票执行。</w:t>
      </w:r>
    </w:p>
    <w:p w14:paraId="662711AC" w14:textId="77777777" w:rsidR="00C3597D" w:rsidRPr="00C3597D" w:rsidRDefault="00C3597D" w:rsidP="00C3597D">
      <w:pPr>
        <w:spacing w:line="360" w:lineRule="auto"/>
        <w:ind w:firstLineChars="200" w:firstLine="480"/>
        <w:rPr>
          <w:bCs/>
          <w:sz w:val="24"/>
        </w:rPr>
      </w:pPr>
      <w:r w:rsidRPr="00C3597D">
        <w:rPr>
          <w:rFonts w:hint="eastAsia"/>
          <w:bCs/>
          <w:sz w:val="24"/>
        </w:rPr>
        <w:t>12</w:t>
      </w:r>
      <w:r w:rsidRPr="00C3597D">
        <w:rPr>
          <w:rFonts w:hint="eastAsia"/>
          <w:bCs/>
          <w:sz w:val="24"/>
        </w:rPr>
        <w:t>、估值中的汇率选取原则：港股通投资持有外币证券资产估值涉及到的主要货币对人民币汇率，以估值日中国人民银行或其授权机构公布的人民币汇率中间价为准。</w:t>
      </w:r>
    </w:p>
    <w:p w14:paraId="03DDEE72" w14:textId="77777777" w:rsidR="00C3597D" w:rsidRPr="00C3597D" w:rsidRDefault="00C3597D" w:rsidP="00C3597D">
      <w:pPr>
        <w:spacing w:line="360" w:lineRule="auto"/>
        <w:ind w:firstLineChars="200" w:firstLine="480"/>
        <w:rPr>
          <w:bCs/>
          <w:sz w:val="24"/>
        </w:rPr>
      </w:pPr>
      <w:r w:rsidRPr="00C3597D">
        <w:rPr>
          <w:rFonts w:hint="eastAsia"/>
          <w:bCs/>
          <w:sz w:val="24"/>
        </w:rPr>
        <w:t>税收</w:t>
      </w:r>
      <w:r w:rsidRPr="00C3597D">
        <w:rPr>
          <w:rFonts w:hint="eastAsia"/>
          <w:bCs/>
          <w:sz w:val="24"/>
        </w:rPr>
        <w:t xml:space="preserve"> </w:t>
      </w:r>
      <w:r w:rsidRPr="00C3597D">
        <w:rPr>
          <w:rFonts w:hint="eastAsia"/>
          <w:bCs/>
          <w:sz w:val="24"/>
        </w:rPr>
        <w:t>：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741141A9" w14:textId="77777777" w:rsidR="00C3597D" w:rsidRPr="00C3597D" w:rsidRDefault="00C3597D" w:rsidP="00C3597D">
      <w:pPr>
        <w:spacing w:line="360" w:lineRule="auto"/>
        <w:ind w:firstLineChars="200" w:firstLine="480"/>
        <w:rPr>
          <w:bCs/>
          <w:sz w:val="24"/>
        </w:rPr>
      </w:pPr>
      <w:r w:rsidRPr="00C3597D">
        <w:rPr>
          <w:rFonts w:hint="eastAsia"/>
          <w:bCs/>
          <w:sz w:val="24"/>
        </w:rPr>
        <w:t>13</w:t>
      </w:r>
      <w:r w:rsidRPr="00C3597D">
        <w:rPr>
          <w:rFonts w:hint="eastAsia"/>
          <w:bCs/>
          <w:sz w:val="24"/>
        </w:rPr>
        <w:t>、如有确凿证据表明按上述方法进行估值不能客观反映其公允价值的，基金管理人可根据具体情况与基金托管人商定后，按最能反映公允价值的价格估值。</w:t>
      </w:r>
    </w:p>
    <w:p w14:paraId="52BDF69F" w14:textId="41985756" w:rsidR="00C3597D" w:rsidRDefault="00C3597D" w:rsidP="00FD492F">
      <w:pPr>
        <w:spacing w:line="360" w:lineRule="auto"/>
        <w:ind w:firstLineChars="200" w:firstLine="480"/>
        <w:rPr>
          <w:bCs/>
          <w:sz w:val="24"/>
        </w:rPr>
      </w:pPr>
      <w:r w:rsidRPr="00C3597D">
        <w:rPr>
          <w:rFonts w:hint="eastAsia"/>
          <w:bCs/>
          <w:sz w:val="24"/>
        </w:rPr>
        <w:t>14</w:t>
      </w:r>
      <w:r w:rsidRPr="00C3597D">
        <w:rPr>
          <w:rFonts w:hint="eastAsia"/>
          <w:bCs/>
          <w:sz w:val="24"/>
        </w:rPr>
        <w:t>、相关法律法规以及监管部门有强制规定的，从其规定。如有新增事项，按国家最新规定估值。</w:t>
      </w:r>
    </w:p>
    <w:p w14:paraId="1FCD97A3" w14:textId="01B251ED" w:rsidR="00FD492F" w:rsidRDefault="00FD492F" w:rsidP="00FD492F">
      <w:pPr>
        <w:spacing w:line="360" w:lineRule="auto"/>
        <w:ind w:firstLineChars="200" w:firstLine="480"/>
        <w:rPr>
          <w:bCs/>
          <w:sz w:val="24"/>
        </w:rPr>
      </w:pPr>
      <w:r w:rsidRPr="00FD492F">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6F877639" w14:textId="5C212847" w:rsidR="00984EF1" w:rsidRPr="00FD492F" w:rsidRDefault="00984EF1" w:rsidP="00984EF1">
      <w:pPr>
        <w:spacing w:line="360" w:lineRule="auto"/>
        <w:ind w:firstLineChars="200" w:firstLine="480"/>
        <w:rPr>
          <w:bCs/>
          <w:sz w:val="24"/>
        </w:rPr>
      </w:pPr>
      <w:r w:rsidRPr="00984EF1">
        <w:rPr>
          <w:rFonts w:hint="eastAsia"/>
          <w:bCs/>
          <w:sz w:val="24"/>
        </w:rPr>
        <w:t>鉴于本基金允许投资由基金管理人管理的非上市基金，基金管理人和基金托管人需根据已披露的份额净值信息进行估值。如因基金管理人披露的份额净值错误或无法于双方约定的时间披露份额净值导致的估值错误，相关责任由基金管理人承担。</w:t>
      </w:r>
    </w:p>
    <w:p w14:paraId="4A6DB0AF" w14:textId="134280BE" w:rsidR="00353BD1" w:rsidRDefault="00FD492F">
      <w:pPr>
        <w:adjustRightInd w:val="0"/>
        <w:snapToGrid w:val="0"/>
        <w:spacing w:line="360" w:lineRule="auto"/>
        <w:ind w:firstLine="480"/>
        <w:rPr>
          <w:rFonts w:ascii="宋体" w:hAnsi="宋体"/>
          <w:sz w:val="24"/>
          <w:szCs w:val="21"/>
        </w:rPr>
      </w:pPr>
      <w:r w:rsidRPr="00FD492F">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w:t>
      </w:r>
      <w:r w:rsidR="00984EF1" w:rsidRPr="00984EF1">
        <w:rPr>
          <w:rFonts w:hint="eastAsia"/>
          <w:bCs/>
          <w:sz w:val="24"/>
        </w:rPr>
        <w:t>，基金管理人向基金托管人出具盖章的书面说明后</w:t>
      </w:r>
      <w:r w:rsidRPr="00FD492F">
        <w:rPr>
          <w:rFonts w:hint="eastAsia"/>
          <w:bCs/>
          <w:sz w:val="24"/>
        </w:rPr>
        <w:t>，按照基金管理人对基金资产净值的计算</w:t>
      </w:r>
      <w:r w:rsidRPr="00FD492F">
        <w:rPr>
          <w:rFonts w:hint="eastAsia"/>
          <w:bCs/>
          <w:sz w:val="24"/>
        </w:rPr>
        <w:lastRenderedPageBreak/>
        <w:t>结果对外予以公布。</w:t>
      </w:r>
    </w:p>
    <w:p w14:paraId="6D200C8D" w14:textId="2F47962E" w:rsidR="00353BD1" w:rsidRDefault="00064D22">
      <w:pPr>
        <w:adjustRightInd w:val="0"/>
        <w:snapToGrid w:val="0"/>
        <w:spacing w:line="360" w:lineRule="auto"/>
        <w:ind w:firstLineChars="200" w:firstLine="480"/>
        <w:rPr>
          <w:rStyle w:val="read"/>
          <w:rFonts w:ascii="宋体" w:hAnsi="宋体"/>
          <w:sz w:val="24"/>
        </w:rPr>
      </w:pPr>
      <w:r>
        <w:rPr>
          <w:rStyle w:val="read"/>
          <w:rFonts w:ascii="宋体" w:hAnsi="宋体" w:cs="Arial" w:hint="eastAsia"/>
          <w:sz w:val="24"/>
        </w:rPr>
        <w:t>基金管理人、基金托管人按估值方法的</w:t>
      </w:r>
      <w:r w:rsidR="00FD492F">
        <w:rPr>
          <w:rStyle w:val="read"/>
          <w:rFonts w:ascii="宋体" w:hAnsi="宋体" w:cs="Arial" w:hint="eastAsia"/>
          <w:sz w:val="24"/>
        </w:rPr>
        <w:t>第</w:t>
      </w:r>
      <w:r w:rsidR="00984EF1">
        <w:rPr>
          <w:rStyle w:val="read"/>
          <w:rFonts w:ascii="宋体" w:hAnsi="宋体" w:cs="Arial" w:hint="eastAsia"/>
          <w:sz w:val="24"/>
        </w:rPr>
        <w:t>13</w:t>
      </w:r>
      <w:r>
        <w:rPr>
          <w:rStyle w:val="read"/>
          <w:rFonts w:ascii="宋体" w:hAnsi="宋体" w:cs="Arial" w:hint="eastAsia"/>
          <w:sz w:val="24"/>
        </w:rPr>
        <w:t>项进行估值时，所造成的误差不作为基金份</w:t>
      </w:r>
      <w:r>
        <w:rPr>
          <w:rStyle w:val="read"/>
          <w:rFonts w:ascii="宋体" w:hAnsi="宋体" w:hint="eastAsia"/>
          <w:sz w:val="24"/>
        </w:rPr>
        <w:t>额净值错误处理。</w:t>
      </w:r>
    </w:p>
    <w:p w14:paraId="018E7B68" w14:textId="77777777" w:rsidR="00353BD1" w:rsidRDefault="00064D22">
      <w:pPr>
        <w:adjustRightInd w:val="0"/>
        <w:snapToGrid w:val="0"/>
        <w:spacing w:line="360" w:lineRule="auto"/>
        <w:ind w:firstLineChars="200" w:firstLine="480"/>
        <w:rPr>
          <w:rStyle w:val="read"/>
          <w:rFonts w:ascii="宋体" w:hAnsi="宋体"/>
          <w:sz w:val="24"/>
        </w:rPr>
      </w:pPr>
      <w:r>
        <w:rPr>
          <w:rStyle w:val="read"/>
          <w:rFonts w:ascii="宋体" w:hAnsi="宋体" w:hint="eastAsia"/>
          <w:sz w:val="24"/>
        </w:rPr>
        <w:t>（三）基金份额净值错误的处理方式</w:t>
      </w:r>
    </w:p>
    <w:p w14:paraId="560891F0" w14:textId="5E1B8E87" w:rsidR="00C8343C" w:rsidRPr="00C8343C" w:rsidRDefault="00C8343C">
      <w:pPr>
        <w:adjustRightInd w:val="0"/>
        <w:snapToGrid w:val="0"/>
        <w:spacing w:line="360" w:lineRule="auto"/>
        <w:ind w:firstLineChars="200" w:firstLine="480"/>
        <w:rPr>
          <w:rStyle w:val="read"/>
          <w:rFonts w:ascii="宋体" w:hAnsi="宋体"/>
          <w:sz w:val="24"/>
        </w:rPr>
      </w:pPr>
      <w:r w:rsidRPr="00C8343C">
        <w:rPr>
          <w:rStyle w:val="read"/>
          <w:rFonts w:ascii="宋体" w:hAnsi="宋体" w:hint="eastAsia"/>
          <w:sz w:val="24"/>
        </w:rPr>
        <w:t>基金管理人和基金托管人将采取必要、适当、合理的措施确保基金资产估值的准确性、及时性。当任一类基金份额净值小数点后4位以内(含第4位)发生估值错误时，视为该类基金份额净值错误</w:t>
      </w:r>
      <w:r w:rsidR="00312D29">
        <w:rPr>
          <w:rStyle w:val="read"/>
          <w:rFonts w:ascii="宋体" w:hAnsi="宋体" w:hint="eastAsia"/>
          <w:sz w:val="24"/>
        </w:rPr>
        <w:t>。</w:t>
      </w:r>
    </w:p>
    <w:p w14:paraId="47D0AAD9" w14:textId="5BD9A2A9" w:rsidR="00312D29" w:rsidRPr="00312D29" w:rsidRDefault="00312D29" w:rsidP="00312D29">
      <w:pPr>
        <w:adjustRightInd w:val="0"/>
        <w:snapToGrid w:val="0"/>
        <w:spacing w:line="360" w:lineRule="auto"/>
        <w:ind w:firstLineChars="200" w:firstLine="480"/>
        <w:rPr>
          <w:rStyle w:val="read"/>
          <w:rFonts w:ascii="宋体" w:hAnsi="宋体"/>
          <w:sz w:val="24"/>
        </w:rPr>
      </w:pPr>
      <w:r>
        <w:rPr>
          <w:rStyle w:val="read"/>
          <w:rFonts w:ascii="宋体" w:hAnsi="宋体"/>
          <w:sz w:val="24"/>
        </w:rPr>
        <w:t>1</w:t>
      </w:r>
      <w:r>
        <w:rPr>
          <w:rStyle w:val="read"/>
          <w:rFonts w:ascii="宋体" w:hAnsi="宋体" w:hint="eastAsia"/>
          <w:sz w:val="24"/>
        </w:rPr>
        <w:t>.</w:t>
      </w:r>
      <w:r w:rsidRPr="00312D29">
        <w:rPr>
          <w:rStyle w:val="read"/>
          <w:rFonts w:ascii="宋体" w:hAnsi="宋体" w:hint="eastAsia"/>
          <w:sz w:val="24"/>
        </w:rPr>
        <w:t>基金份额净值估值错误处理的方法如下：</w:t>
      </w:r>
    </w:p>
    <w:p w14:paraId="2B372192" w14:textId="77777777" w:rsidR="00312D29" w:rsidRPr="00312D29" w:rsidRDefault="00312D29" w:rsidP="00312D29">
      <w:pPr>
        <w:adjustRightInd w:val="0"/>
        <w:snapToGrid w:val="0"/>
        <w:spacing w:line="360" w:lineRule="auto"/>
        <w:ind w:firstLineChars="200" w:firstLine="480"/>
        <w:rPr>
          <w:rStyle w:val="read"/>
          <w:rFonts w:ascii="宋体" w:hAnsi="宋体"/>
          <w:sz w:val="24"/>
        </w:rPr>
      </w:pPr>
      <w:r w:rsidRPr="00312D29">
        <w:rPr>
          <w:rStyle w:val="read"/>
          <w:rFonts w:ascii="宋体" w:hAnsi="宋体" w:hint="eastAsia"/>
          <w:sz w:val="24"/>
        </w:rPr>
        <w:t>（1）基金份额净值计算出现错误时，基金管理人应当立即予以纠正，通报基金托管人，并采取合理的措施防止损失进一步扩大。</w:t>
      </w:r>
    </w:p>
    <w:p w14:paraId="5220F3C3" w14:textId="0F7511A7" w:rsidR="00353BD1" w:rsidRDefault="00312D29" w:rsidP="00312D29">
      <w:pPr>
        <w:adjustRightInd w:val="0"/>
        <w:snapToGrid w:val="0"/>
        <w:spacing w:line="360" w:lineRule="auto"/>
        <w:ind w:firstLineChars="200" w:firstLine="480"/>
        <w:rPr>
          <w:rStyle w:val="read"/>
          <w:rFonts w:ascii="宋体" w:hAnsi="宋体"/>
          <w:sz w:val="24"/>
        </w:rPr>
      </w:pPr>
      <w:r w:rsidRPr="00312D29">
        <w:rPr>
          <w:rStyle w:val="read"/>
          <w:rFonts w:ascii="宋体" w:hAnsi="宋体" w:hint="eastAsia"/>
          <w:sz w:val="24"/>
        </w:rPr>
        <w:t>（2）任一类错误偏差达到该类基金份额净值的0.25%时，基金管理人应当通报基金托管人并报中国证监会备案；任一类错误偏差达到该类基金份额净值的0.5%时，基金管理人应当公告，并报中国证监会备案。</w:t>
      </w:r>
      <w:r w:rsidR="00064D22">
        <w:rPr>
          <w:rStyle w:val="read"/>
          <w:rFonts w:ascii="宋体" w:hAnsi="宋体" w:hint="eastAsia"/>
          <w:sz w:val="24"/>
        </w:rPr>
        <w:t>当发生净值计算错误时，由基金管理人负责处理，由此给基金份额持有人和基金造成损失的，应由基金管理人先行赔付，基金管理人按差错情形，有权向其他当事人追偿。</w:t>
      </w:r>
    </w:p>
    <w:p w14:paraId="55345568" w14:textId="77777777" w:rsidR="00353BD1" w:rsidRDefault="00064D22">
      <w:pPr>
        <w:adjustRightInd w:val="0"/>
        <w:snapToGrid w:val="0"/>
        <w:spacing w:line="360" w:lineRule="auto"/>
        <w:ind w:firstLineChars="200" w:firstLine="480"/>
        <w:rPr>
          <w:rStyle w:val="read"/>
          <w:rFonts w:ascii="宋体" w:hAnsi="宋体"/>
          <w:sz w:val="24"/>
        </w:rPr>
      </w:pPr>
      <w:r>
        <w:rPr>
          <w:rStyle w:val="read"/>
          <w:rFonts w:ascii="宋体" w:hAnsi="宋体" w:hint="eastAsia"/>
          <w:sz w:val="24"/>
        </w:rPr>
        <w:t>2.当基金份额净值计算差错给基金和基金份额持有人造成损失需要进行赔偿时，基金管理人和基金托管人根据实际情况界定双方承担的责任，经确认后按以下条款进行赔偿：</w:t>
      </w:r>
    </w:p>
    <w:p w14:paraId="53BD6CB8" w14:textId="77777777" w:rsidR="00353BD1" w:rsidRDefault="00064D22">
      <w:pPr>
        <w:adjustRightInd w:val="0"/>
        <w:snapToGrid w:val="0"/>
        <w:spacing w:line="360" w:lineRule="auto"/>
        <w:ind w:firstLineChars="200" w:firstLine="480"/>
        <w:rPr>
          <w:rFonts w:ascii="宋体" w:hAnsi="宋体" w:cs="Arial"/>
          <w:sz w:val="24"/>
        </w:rPr>
      </w:pPr>
      <w:r>
        <w:rPr>
          <w:rStyle w:val="read"/>
          <w:rFonts w:ascii="宋体" w:hAnsi="宋体" w:hint="eastAsia"/>
          <w:sz w:val="24"/>
        </w:rPr>
        <w:t>(1)本基金的基金会计责任方由基金管理人担任，与本基金有关的会计问题，如经双方在平等基础上充分讨论后，尚不能达成一致时，按基金管理人的建议执行，由此给基金份额持有人和基金财产造成的</w:t>
      </w:r>
      <w:r>
        <w:rPr>
          <w:rFonts w:ascii="宋体" w:hAnsi="宋体" w:cs="Arial" w:hint="eastAsia"/>
          <w:sz w:val="24"/>
        </w:rPr>
        <w:t>损失，由基金管理人负责赔付。</w:t>
      </w:r>
    </w:p>
    <w:p w14:paraId="2500A4F0"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(2)</w:t>
      </w:r>
      <w:r>
        <w:rPr>
          <w:rFonts w:ascii="宋体" w:hAnsi="宋体" w:hint="eastAsia"/>
          <w:kern w:val="0"/>
          <w:sz w:val="24"/>
        </w:rPr>
        <w:t>若基金管理人计算的各类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14:paraId="24C459B7"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(3)如基金管理人和基金托管人对</w:t>
      </w:r>
      <w:r>
        <w:rPr>
          <w:rFonts w:ascii="宋体" w:hAnsi="宋体" w:hint="eastAsia"/>
          <w:kern w:val="0"/>
          <w:sz w:val="24"/>
        </w:rPr>
        <w:t>各类</w:t>
      </w:r>
      <w:r>
        <w:rPr>
          <w:rFonts w:ascii="宋体" w:hAnsi="宋体" w:cs="Arial" w:hint="eastAsia"/>
          <w:sz w:val="24"/>
        </w:rPr>
        <w:t>基金份额净值的计算结果，虽然多次重新计算和核对，尚不能达成一致时，为避免不能按时公布</w:t>
      </w:r>
      <w:r>
        <w:rPr>
          <w:rFonts w:ascii="宋体" w:hAnsi="宋体" w:hint="eastAsia"/>
          <w:kern w:val="0"/>
          <w:sz w:val="24"/>
        </w:rPr>
        <w:t>各类</w:t>
      </w:r>
      <w:r>
        <w:rPr>
          <w:rFonts w:ascii="宋体" w:hAnsi="宋体" w:cs="Arial" w:hint="eastAsia"/>
          <w:sz w:val="24"/>
        </w:rPr>
        <w:t>基金份额净值的情形，以基金管理人的计算结果对外公布，由此给基金份额持有人和基金造成的损失，由基金管理人负责赔付。</w:t>
      </w:r>
    </w:p>
    <w:p w14:paraId="1BB282BF"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(4)</w:t>
      </w:r>
      <w:r>
        <w:rPr>
          <w:rFonts w:ascii="宋体" w:hAnsi="宋体" w:hint="eastAsia"/>
          <w:kern w:val="0"/>
          <w:sz w:val="24"/>
        </w:rPr>
        <w:t>由于基金管理人提供的信息错误（包括但不限于基金申购或赎回金额等），进而导致基金份额净值计算错误而引起的基金份额持有人和基金财产的损失，由基金管理人负责赔付。</w:t>
      </w:r>
    </w:p>
    <w:p w14:paraId="2A4E94E2" w14:textId="41D2E513"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3.由于证券交易所</w:t>
      </w:r>
      <w:r w:rsidR="00F05FEA">
        <w:rPr>
          <w:rFonts w:hint="eastAsia"/>
          <w:bCs/>
          <w:sz w:val="24"/>
        </w:rPr>
        <w:t>、期货交易所</w:t>
      </w:r>
      <w:r>
        <w:rPr>
          <w:rFonts w:ascii="宋体" w:hAnsi="宋体" w:cs="Arial" w:hint="eastAsia"/>
          <w:sz w:val="24"/>
        </w:rPr>
        <w:t>及登记结算公司等第三方机构发送的数据错误，</w:t>
      </w:r>
      <w:r w:rsidR="00F05FEA">
        <w:rPr>
          <w:rFonts w:hint="eastAsia"/>
          <w:bCs/>
          <w:sz w:val="24"/>
        </w:rPr>
        <w:t>有关会计制度变化</w:t>
      </w:r>
      <w:r>
        <w:rPr>
          <w:rFonts w:ascii="宋体" w:hAnsi="宋体" w:cs="Arial" w:hint="eastAsia"/>
          <w:sz w:val="24"/>
        </w:rPr>
        <w:t>或由于其他不可抗力原因，基金管理人和基金托管人虽然已经采取必要、适当、合理的措施进行检查，但是未能发现该错误而造成的基金份额净值计算错误，基金管理人、基金托管人免除赔偿责任。但基金管理人、基金托管人应积极采取必要的措施减轻或消除由此造成的影响。</w:t>
      </w:r>
    </w:p>
    <w:p w14:paraId="23B25E1F"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4.基金管理人和基金托管人由于各自技术系统设置而产生的净值计算尾差，以基金管理人计算结果为准。</w:t>
      </w:r>
    </w:p>
    <w:p w14:paraId="0CD191B3"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5.前述内容如法律法规或者监管部门另有规定的，从其规定。如果行业另有通行做法，双方当事人应本着平等和保护基金份额持有人利益的原则进行协商。</w:t>
      </w:r>
    </w:p>
    <w:p w14:paraId="5ECF299C"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（四）暂停估值与公告基金份额净值的情形</w:t>
      </w:r>
    </w:p>
    <w:p w14:paraId="4C7C3E9B"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1.基金投资所涉及的证券交易市场遇法定节假日或因其他原因暂停营业时；</w:t>
      </w:r>
    </w:p>
    <w:p w14:paraId="557AA097"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2.因不可抗力致使基金管理人、基金托管人无法准确评估基金资产价值时；</w:t>
      </w:r>
    </w:p>
    <w:p w14:paraId="5C6FAA5A" w14:textId="1932E0DA"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3.</w:t>
      </w:r>
      <w:r w:rsidR="001115B3" w:rsidRPr="001115B3">
        <w:rPr>
          <w:rFonts w:ascii="宋体" w:hAnsi="宋体" w:cs="Arial" w:hint="eastAsia"/>
          <w:sz w:val="24"/>
        </w:rPr>
        <w:t>当特定资产占前一估值日基金资产净值50%以上的，经与基金托管人协商确认后，基金管理人应当暂停估值；</w:t>
      </w:r>
    </w:p>
    <w:p w14:paraId="42E7354F" w14:textId="33AFCEE3" w:rsidR="00353BD1" w:rsidRDefault="00064D22" w:rsidP="00F05FEA">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4.中国证监会和《基金合同》认定的其他情形。</w:t>
      </w:r>
    </w:p>
    <w:p w14:paraId="3AF4DFC8"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（五）实施侧袋机制期间的基金资产估值</w:t>
      </w:r>
    </w:p>
    <w:p w14:paraId="5F39CB74"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本基金实施侧袋机制的，应根据本部分的约定对主袋账户资产进行估值并披露主袋账户的基金净值信息，暂停披露侧袋账户份额净值。</w:t>
      </w:r>
    </w:p>
    <w:p w14:paraId="473F0C23"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（六）基金会计制度</w:t>
      </w:r>
    </w:p>
    <w:p w14:paraId="58C1833D"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按国家有关部门规定的会计制度执行。</w:t>
      </w:r>
    </w:p>
    <w:p w14:paraId="12D4A3EA"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（七）基金账册的建立</w:t>
      </w:r>
    </w:p>
    <w:p w14:paraId="02A0F8F1"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净值信息的计算和公告的，以基金管理人的账册为准。</w:t>
      </w:r>
    </w:p>
    <w:p w14:paraId="747ADA1D"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（八）基金财务报表与报告的编制和复核</w:t>
      </w:r>
    </w:p>
    <w:p w14:paraId="280E7CF4"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1.财务报表的编制</w:t>
      </w:r>
    </w:p>
    <w:p w14:paraId="4EDC7521"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基金财务报表由基金管理人编制，基金托管人复核。</w:t>
      </w:r>
    </w:p>
    <w:p w14:paraId="7A8660AE"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2.报表复核</w:t>
      </w:r>
    </w:p>
    <w:p w14:paraId="1037F06B"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基金托管人在收到基金管理人编制的基金财务报表后，进行独立的复核。核对不符时，应及时通知基金管理人共同查出原因，进行调整，直至双方数据完全一致。</w:t>
      </w:r>
    </w:p>
    <w:p w14:paraId="4D0F006D"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3.财务报表的编制与复核时间安排</w:t>
      </w:r>
    </w:p>
    <w:p w14:paraId="53904158"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(1)报表的编制</w:t>
      </w:r>
    </w:p>
    <w:p w14:paraId="6027AE73"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应当在每月结束后5个工作日内完成月度报表的编制；在每个季度结束之日起15个工作日内完成基金季度报告的编制；在上半年结束之日起2个月内完成基金中期报告的编制；在每年结束之日起3个月内完成基金年度报告的编制。基金年度报告的财务会计报告应当经过符合《证券法》规定的会计师事务所审计。《基金合同》生效不足两个月的，基金管理人可以不编制当期季度报告、中期报告或者年度报告。</w:t>
      </w:r>
    </w:p>
    <w:p w14:paraId="6D5C57AD" w14:textId="77777777" w:rsidR="00353BD1" w:rsidRDefault="00064D22">
      <w:pPr>
        <w:pStyle w:val="a0"/>
        <w:adjustRightInd w:val="0"/>
        <w:snapToGrid w:val="0"/>
        <w:spacing w:line="360" w:lineRule="auto"/>
        <w:ind w:firstLine="480"/>
        <w:rPr>
          <w:rFonts w:ascii="宋体" w:hAnsi="宋体" w:cs="Arial"/>
          <w:sz w:val="24"/>
        </w:rPr>
      </w:pPr>
      <w:r>
        <w:rPr>
          <w:rFonts w:ascii="宋体" w:hAnsi="宋体" w:cs="Arial" w:hint="eastAsia"/>
          <w:sz w:val="24"/>
        </w:rPr>
        <w:t>(2)报表的复核</w:t>
      </w:r>
    </w:p>
    <w:p w14:paraId="0A9C8941" w14:textId="77777777" w:rsidR="00353BD1" w:rsidRDefault="00064D22">
      <w:pPr>
        <w:pStyle w:val="a0"/>
        <w:adjustRightInd w:val="0"/>
        <w:snapToGrid w:val="0"/>
        <w:spacing w:line="360" w:lineRule="auto"/>
        <w:ind w:firstLine="480"/>
        <w:rPr>
          <w:rFonts w:ascii="宋体" w:hAnsi="宋体" w:cs="Arial"/>
          <w:sz w:val="24"/>
        </w:rPr>
      </w:pPr>
      <w:r>
        <w:rPr>
          <w:rFonts w:ascii="宋体" w:hAnsi="宋体" w:cs="Arial"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324A2A67" w14:textId="77777777" w:rsidR="00353BD1" w:rsidRDefault="00064D22">
      <w:pPr>
        <w:pStyle w:val="a0"/>
        <w:adjustRightInd w:val="0"/>
        <w:snapToGrid w:val="0"/>
        <w:spacing w:line="360" w:lineRule="auto"/>
        <w:ind w:firstLine="480"/>
        <w:rPr>
          <w:rFonts w:ascii="宋体" w:hAnsi="宋体" w:cs="Arial"/>
          <w:sz w:val="24"/>
        </w:rPr>
      </w:pPr>
      <w:r>
        <w:rPr>
          <w:rFonts w:ascii="宋体" w:hAnsi="宋体" w:cs="Arial" w:hint="eastAsia"/>
          <w:sz w:val="24"/>
        </w:rPr>
        <w:t>基金管理人应留足充分的时间，便于基金托管人复核相关报表及报告。如果基金管理人与基金托管人不能于应当发布公告之日之前就相关报表达成一致，基金管理人按照其编制的报表对外发布公告，基金托管人有权就相关情况报中国证监会备案。</w:t>
      </w:r>
    </w:p>
    <w:p w14:paraId="62497633" w14:textId="77777777" w:rsidR="00353BD1" w:rsidRDefault="00064D22">
      <w:pPr>
        <w:pStyle w:val="a0"/>
        <w:adjustRightInd w:val="0"/>
        <w:snapToGrid w:val="0"/>
        <w:spacing w:line="360" w:lineRule="auto"/>
        <w:ind w:firstLine="480"/>
        <w:rPr>
          <w:rFonts w:ascii="宋体" w:hAnsi="宋体" w:cs="Arial"/>
          <w:sz w:val="24"/>
        </w:rPr>
      </w:pPr>
      <w:r>
        <w:rPr>
          <w:rFonts w:ascii="宋体" w:hAnsi="宋体" w:cs="Arial" w:hint="eastAsia"/>
          <w:sz w:val="24"/>
        </w:rPr>
        <w:t>（九）基金管理人应在编制季度报告、中期报告或者年度报告之前及时向基金托管人提供基金业绩比较基准的基础数据和编制结果。</w:t>
      </w:r>
    </w:p>
    <w:p w14:paraId="374878FD" w14:textId="77777777" w:rsidR="00353BD1" w:rsidRDefault="00353BD1">
      <w:pPr>
        <w:pStyle w:val="a0"/>
        <w:adjustRightInd w:val="0"/>
        <w:snapToGrid w:val="0"/>
        <w:spacing w:line="360" w:lineRule="auto"/>
        <w:ind w:firstLineChars="0" w:firstLine="0"/>
        <w:rPr>
          <w:rFonts w:ascii="宋体" w:hAnsi="宋体" w:cs="Arial"/>
          <w:sz w:val="24"/>
        </w:rPr>
      </w:pPr>
    </w:p>
    <w:p w14:paraId="7256626A" w14:textId="77777777" w:rsidR="00353BD1" w:rsidRDefault="00064D22">
      <w:pPr>
        <w:pStyle w:val="2"/>
        <w:spacing w:line="360" w:lineRule="auto"/>
        <w:jc w:val="center"/>
        <w:rPr>
          <w:rFonts w:ascii="宋体" w:eastAsia="宋体" w:hAnsi="宋体"/>
          <w:sz w:val="30"/>
        </w:rPr>
      </w:pPr>
      <w:bookmarkStart w:id="97" w:name="_Toc124325893"/>
      <w:r>
        <w:rPr>
          <w:rFonts w:ascii="宋体" w:eastAsia="宋体" w:hAnsi="宋体" w:hint="eastAsia"/>
          <w:sz w:val="30"/>
        </w:rPr>
        <w:t>九、基金收益分配</w:t>
      </w:r>
      <w:bookmarkEnd w:id="97"/>
    </w:p>
    <w:p w14:paraId="770A7AE9"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基金收益分配是指按规定将基金的可分配收益按基金份额进行比例分配。</w:t>
      </w:r>
    </w:p>
    <w:p w14:paraId="681A26F7"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（一）基金收益分配的原则</w:t>
      </w:r>
    </w:p>
    <w:p w14:paraId="4E55C857"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基金收益分配应遵循下列原则：</w:t>
      </w:r>
    </w:p>
    <w:p w14:paraId="5E9839AE" w14:textId="638DBC52" w:rsidR="009C797C" w:rsidRPr="009C797C" w:rsidRDefault="00064D22" w:rsidP="009C797C">
      <w:pPr>
        <w:adjustRightInd w:val="0"/>
        <w:snapToGrid w:val="0"/>
        <w:spacing w:line="360" w:lineRule="auto"/>
        <w:ind w:firstLineChars="200" w:firstLine="480"/>
        <w:rPr>
          <w:rFonts w:ascii="宋体" w:hAnsi="宋体" w:cs="Arial"/>
          <w:sz w:val="24"/>
        </w:rPr>
      </w:pPr>
      <w:r>
        <w:rPr>
          <w:rFonts w:ascii="宋体" w:hAnsi="宋体" w:cs="Arial" w:hint="eastAsia"/>
          <w:sz w:val="24"/>
        </w:rPr>
        <w:t>1</w:t>
      </w:r>
      <w:r w:rsidR="009C797C">
        <w:rPr>
          <w:rFonts w:ascii="宋体" w:hAnsi="宋体" w:cs="Arial" w:hint="eastAsia"/>
          <w:sz w:val="24"/>
        </w:rPr>
        <w:t>.</w:t>
      </w:r>
      <w:r w:rsidR="009C797C" w:rsidRPr="009C797C">
        <w:rPr>
          <w:rFonts w:ascii="宋体" w:hAnsi="宋体" w:cs="Arial" w:hint="eastAsia"/>
          <w:sz w:val="24"/>
        </w:rPr>
        <w:t>在符合有关基金分红条件的前提下，基金管理人可以根据实际情况进行收</w:t>
      </w:r>
      <w:r w:rsidR="009C797C" w:rsidRPr="009C797C">
        <w:rPr>
          <w:rFonts w:ascii="宋体" w:hAnsi="宋体" w:cs="Arial" w:hint="eastAsia"/>
          <w:sz w:val="24"/>
        </w:rPr>
        <w:lastRenderedPageBreak/>
        <w:t>益分配，具体分配方案以公告为准。若《基金合同》生效不满3个月可不进行收益分配；</w:t>
      </w:r>
    </w:p>
    <w:p w14:paraId="10E9A86C" w14:textId="31F0C905" w:rsidR="009C797C" w:rsidRPr="009C797C" w:rsidRDefault="009C797C" w:rsidP="009C797C">
      <w:pPr>
        <w:adjustRightInd w:val="0"/>
        <w:snapToGrid w:val="0"/>
        <w:spacing w:line="360" w:lineRule="auto"/>
        <w:ind w:firstLineChars="200" w:firstLine="480"/>
        <w:rPr>
          <w:rFonts w:ascii="宋体" w:hAnsi="宋体" w:cs="Arial"/>
          <w:sz w:val="24"/>
        </w:rPr>
      </w:pPr>
      <w:r w:rsidRPr="009C797C">
        <w:rPr>
          <w:rFonts w:ascii="宋体" w:hAnsi="宋体" w:cs="Arial" w:hint="eastAsia"/>
          <w:sz w:val="24"/>
        </w:rPr>
        <w:t>2</w:t>
      </w:r>
      <w:r>
        <w:rPr>
          <w:rFonts w:ascii="宋体" w:hAnsi="宋体" w:cs="Arial"/>
          <w:sz w:val="24"/>
        </w:rPr>
        <w:t>.</w:t>
      </w:r>
      <w:r w:rsidRPr="009C797C">
        <w:rPr>
          <w:rFonts w:ascii="宋体" w:hAnsi="宋体" w:cs="Arial" w:hint="eastAsia"/>
          <w:sz w:val="24"/>
        </w:rPr>
        <w:t>本基金收益分配方式分两种：现金分红与红利再投资，投资者可选择现金红利或将现金红利自动转为对应类别的基金份额进行再投资；若投资者不选择，本基金默认的收益分配方式是现金分红；</w:t>
      </w:r>
    </w:p>
    <w:p w14:paraId="6EEEF366" w14:textId="4D7B80FB" w:rsidR="009C797C" w:rsidRPr="009C797C" w:rsidRDefault="009C797C" w:rsidP="009C797C">
      <w:pPr>
        <w:adjustRightInd w:val="0"/>
        <w:snapToGrid w:val="0"/>
        <w:spacing w:line="360" w:lineRule="auto"/>
        <w:ind w:firstLineChars="200" w:firstLine="480"/>
        <w:rPr>
          <w:rFonts w:ascii="宋体" w:hAnsi="宋体" w:cs="Arial"/>
          <w:sz w:val="24"/>
        </w:rPr>
      </w:pPr>
      <w:r w:rsidRPr="009C797C">
        <w:rPr>
          <w:rFonts w:ascii="宋体" w:hAnsi="宋体" w:cs="Arial" w:hint="eastAsia"/>
          <w:sz w:val="24"/>
        </w:rPr>
        <w:t>3</w:t>
      </w:r>
      <w:r>
        <w:rPr>
          <w:rFonts w:ascii="宋体" w:hAnsi="宋体" w:cs="Arial" w:hint="eastAsia"/>
          <w:sz w:val="24"/>
        </w:rPr>
        <w:t>.</w:t>
      </w:r>
      <w:r w:rsidRPr="009C797C">
        <w:rPr>
          <w:rFonts w:ascii="宋体" w:hAnsi="宋体" w:cs="Arial" w:hint="eastAsia"/>
          <w:sz w:val="24"/>
        </w:rPr>
        <w:t>基金收益分配后</w:t>
      </w:r>
      <w:r w:rsidR="00496B2D">
        <w:rPr>
          <w:rFonts w:ascii="宋体" w:hAnsi="宋体" w:cs="Arial" w:hint="eastAsia"/>
          <w:sz w:val="24"/>
        </w:rPr>
        <w:t>各类</w:t>
      </w:r>
      <w:r w:rsidRPr="009C797C">
        <w:rPr>
          <w:rFonts w:ascii="宋体" w:hAnsi="宋体" w:cs="Arial" w:hint="eastAsia"/>
          <w:sz w:val="24"/>
        </w:rPr>
        <w:t>基金份额净值不能低于面值；即基金收益分配基准日的</w:t>
      </w:r>
      <w:r w:rsidR="00496B2D">
        <w:rPr>
          <w:rFonts w:ascii="宋体" w:hAnsi="宋体" w:cs="Arial" w:hint="eastAsia"/>
          <w:sz w:val="24"/>
        </w:rPr>
        <w:t>各类</w:t>
      </w:r>
      <w:r w:rsidRPr="009C797C">
        <w:rPr>
          <w:rFonts w:ascii="宋体" w:hAnsi="宋体" w:cs="Arial" w:hint="eastAsia"/>
          <w:sz w:val="24"/>
        </w:rPr>
        <w:t>基金份额净值减去每单位</w:t>
      </w:r>
      <w:r w:rsidR="00496B2D">
        <w:rPr>
          <w:rFonts w:ascii="宋体" w:hAnsi="宋体" w:cs="Arial" w:hint="eastAsia"/>
          <w:sz w:val="24"/>
        </w:rPr>
        <w:t>该类</w:t>
      </w:r>
      <w:r w:rsidRPr="009C797C">
        <w:rPr>
          <w:rFonts w:ascii="宋体" w:hAnsi="宋体" w:cs="Arial" w:hint="eastAsia"/>
          <w:sz w:val="24"/>
        </w:rPr>
        <w:t>基金份额收益分配金额后不能低于面值；</w:t>
      </w:r>
    </w:p>
    <w:p w14:paraId="5FFC8AC9" w14:textId="0E848640" w:rsidR="009C797C" w:rsidRPr="009C797C" w:rsidRDefault="009C797C" w:rsidP="009C797C">
      <w:pPr>
        <w:adjustRightInd w:val="0"/>
        <w:snapToGrid w:val="0"/>
        <w:spacing w:line="360" w:lineRule="auto"/>
        <w:ind w:firstLineChars="200" w:firstLine="480"/>
        <w:rPr>
          <w:rFonts w:ascii="宋体" w:hAnsi="宋体" w:cs="Arial"/>
          <w:sz w:val="24"/>
        </w:rPr>
      </w:pPr>
      <w:r w:rsidRPr="009C797C">
        <w:rPr>
          <w:rFonts w:ascii="宋体" w:hAnsi="宋体" w:cs="Arial" w:hint="eastAsia"/>
          <w:sz w:val="24"/>
        </w:rPr>
        <w:t>4</w:t>
      </w:r>
      <w:r>
        <w:rPr>
          <w:rFonts w:ascii="宋体" w:hAnsi="宋体" w:cs="Arial"/>
          <w:sz w:val="24"/>
        </w:rPr>
        <w:t>.</w:t>
      </w:r>
      <w:r w:rsidR="003D04DC" w:rsidRPr="003D04DC">
        <w:rPr>
          <w:rFonts w:hint="eastAsia"/>
        </w:rPr>
        <w:t xml:space="preserve"> </w:t>
      </w:r>
      <w:r w:rsidR="003D04DC" w:rsidRPr="003D04DC">
        <w:rPr>
          <w:rFonts w:ascii="宋体" w:hAnsi="宋体" w:cs="Arial" w:hint="eastAsia"/>
          <w:sz w:val="24"/>
        </w:rPr>
        <w:t>由于本基金A类基金份额和C类基金份额费用收取不同</w:t>
      </w:r>
      <w:r w:rsidRPr="009C797C">
        <w:rPr>
          <w:rFonts w:ascii="宋体" w:hAnsi="宋体" w:cs="Arial" w:hint="eastAsia"/>
          <w:sz w:val="24"/>
        </w:rPr>
        <w:t>，各基金份额类别对应的可分配收益将有所不同，基金管理人可对各类别份额分别制定收益分配方案。本基金同一类别的每一基金份额享有同等分配权；</w:t>
      </w:r>
    </w:p>
    <w:p w14:paraId="154B5F52" w14:textId="1A774261" w:rsidR="00353BD1" w:rsidRDefault="009C797C" w:rsidP="00961F8E">
      <w:pPr>
        <w:adjustRightInd w:val="0"/>
        <w:snapToGrid w:val="0"/>
        <w:spacing w:line="360" w:lineRule="auto"/>
        <w:ind w:firstLineChars="200" w:firstLine="480"/>
        <w:rPr>
          <w:rFonts w:ascii="宋体" w:hAnsi="宋体" w:cs="Arial"/>
          <w:sz w:val="24"/>
        </w:rPr>
      </w:pPr>
      <w:r w:rsidRPr="009C797C">
        <w:rPr>
          <w:rFonts w:ascii="宋体" w:hAnsi="宋体" w:cs="Arial" w:hint="eastAsia"/>
          <w:sz w:val="24"/>
        </w:rPr>
        <w:t>5</w:t>
      </w:r>
      <w:r>
        <w:rPr>
          <w:rFonts w:ascii="宋体" w:hAnsi="宋体" w:cs="Arial" w:hint="eastAsia"/>
          <w:sz w:val="24"/>
        </w:rPr>
        <w:t>.</w:t>
      </w:r>
      <w:r w:rsidRPr="009C797C">
        <w:rPr>
          <w:rFonts w:ascii="宋体" w:hAnsi="宋体" w:cs="Arial" w:hint="eastAsia"/>
          <w:sz w:val="24"/>
        </w:rPr>
        <w:t>法律法规或监管机关另有规定的，从其规定</w:t>
      </w:r>
      <w:r w:rsidR="00064D22">
        <w:rPr>
          <w:rFonts w:ascii="宋体" w:hAnsi="宋体" w:cs="Arial" w:hint="eastAsia"/>
          <w:sz w:val="24"/>
        </w:rPr>
        <w:t>。</w:t>
      </w:r>
    </w:p>
    <w:p w14:paraId="079484B0" w14:textId="2CE7222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在符合法律法规及基金合同约定，并对基金份额持有人利益无实质性不利影响的前提下，经与基金托管人协商一致并履行适当程序后，基金管理人可对基金收益分配原则和支付方式进行调整。</w:t>
      </w:r>
    </w:p>
    <w:p w14:paraId="67B31ABE"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（二）基金收益分配的时间和程序</w:t>
      </w:r>
    </w:p>
    <w:p w14:paraId="5D15DDD0"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本基金收益分配方案由基金管理人拟订，并由基金托管人复核，并依照《信息披露办法》的有关规定在规定媒介公告。基金收益分配方案公告后(依据具体方案的规定)，基金管理人就支付的现金红利向基金托管人发送划款指令，基金托管人按照基金管理人的指令及时进行分红资金的划付。</w:t>
      </w:r>
    </w:p>
    <w:p w14:paraId="2AEB58E5" w14:textId="753E24A4"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基金收益分配时所发生的银行转账或其他手续费用由投资者自行承担。</w:t>
      </w:r>
      <w:r w:rsidR="00BD210D" w:rsidRPr="00BD210D">
        <w:rPr>
          <w:rFonts w:ascii="宋体" w:hAnsi="宋体" w:cs="Arial" w:hint="eastAsia"/>
          <w:sz w:val="24"/>
        </w:rPr>
        <w:t>当投资者的现金红利小于一定金额，不足以支付银行转账或其他手续费用时，基金登记机构可将基金份额持有人的现金红利自动转为对应类别的基金份额。红利再投资的计算方法，依照《业务规则》执行</w:t>
      </w:r>
      <w:r w:rsidR="00BF19F8">
        <w:rPr>
          <w:rFonts w:ascii="宋体" w:hAnsi="宋体" w:cs="Arial" w:hint="eastAsia"/>
          <w:sz w:val="24"/>
        </w:rPr>
        <w:t>。</w:t>
      </w:r>
    </w:p>
    <w:p w14:paraId="21BE04FD"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（三）实施侧袋机制期间的收益分配</w:t>
      </w:r>
    </w:p>
    <w:p w14:paraId="11D20F71"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本基金实施侧袋机制的，侧袋账户不进行收益分配，详见招募说明书的规定。</w:t>
      </w:r>
    </w:p>
    <w:p w14:paraId="42A71800" w14:textId="77777777" w:rsidR="00353BD1" w:rsidRDefault="00353BD1">
      <w:pPr>
        <w:adjustRightInd w:val="0"/>
        <w:snapToGrid w:val="0"/>
        <w:spacing w:line="360" w:lineRule="auto"/>
        <w:rPr>
          <w:rFonts w:ascii="宋体" w:hAnsi="宋体" w:cs="Arial"/>
          <w:sz w:val="24"/>
        </w:rPr>
      </w:pPr>
    </w:p>
    <w:p w14:paraId="1F508973" w14:textId="77777777" w:rsidR="00353BD1" w:rsidRDefault="00064D22">
      <w:pPr>
        <w:pStyle w:val="2"/>
        <w:spacing w:line="360" w:lineRule="auto"/>
        <w:jc w:val="center"/>
        <w:rPr>
          <w:rFonts w:ascii="宋体" w:eastAsia="宋体" w:hAnsi="宋体"/>
          <w:sz w:val="30"/>
        </w:rPr>
      </w:pPr>
      <w:bookmarkStart w:id="98" w:name="_Toc124325894"/>
      <w:r>
        <w:rPr>
          <w:rFonts w:ascii="宋体" w:eastAsia="宋体" w:hAnsi="宋体" w:hint="eastAsia"/>
          <w:sz w:val="30"/>
        </w:rPr>
        <w:t>十、基金信息披露</w:t>
      </w:r>
      <w:bookmarkEnd w:id="98"/>
    </w:p>
    <w:p w14:paraId="6FB5C542"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（一）保密义务</w:t>
      </w:r>
    </w:p>
    <w:p w14:paraId="2B5D75EE"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14:paraId="3B81F62A"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1.非因基金管理人和基金托管人的原因导致保密信息被披露、泄露或公开；</w:t>
      </w:r>
    </w:p>
    <w:p w14:paraId="03CD86C6" w14:textId="165EA00B"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2.基金管理人和基金托管人为遵守和服从法院判决或裁定、仲裁裁决或中国证监会等监管机构的命令、决定所做出的信息披露或公开；</w:t>
      </w:r>
    </w:p>
    <w:p w14:paraId="7EB8016A"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3</w:t>
      </w:r>
      <w:r>
        <w:rPr>
          <w:rFonts w:ascii="宋体" w:hAnsi="宋体" w:cs="Arial"/>
          <w:sz w:val="24"/>
        </w:rPr>
        <w:t>.</w:t>
      </w:r>
      <w:r>
        <w:rPr>
          <w:rFonts w:ascii="宋体" w:hAnsi="宋体" w:cs="Arial" w:hint="eastAsia"/>
          <w:sz w:val="24"/>
        </w:rPr>
        <w:t>因审计、法律等专业服务向外部专业顾问提供信息。</w:t>
      </w:r>
    </w:p>
    <w:p w14:paraId="741B3524"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（二）信息披露的内容</w:t>
      </w:r>
    </w:p>
    <w:p w14:paraId="52D2AD2C" w14:textId="69D3FCFA" w:rsidR="00353BD1" w:rsidRDefault="00064D22">
      <w:pPr>
        <w:spacing w:line="360" w:lineRule="auto"/>
        <w:ind w:firstLineChars="200" w:firstLine="480"/>
        <w:rPr>
          <w:rFonts w:ascii="宋体" w:hAnsi="宋体" w:cs="Arial"/>
          <w:sz w:val="24"/>
        </w:rPr>
      </w:pPr>
      <w:r>
        <w:rPr>
          <w:rFonts w:ascii="宋体" w:hAnsi="宋体" w:cs="Arial" w:hint="eastAsia"/>
          <w:sz w:val="24"/>
        </w:rPr>
        <w:t>基金的信息披露内容主要包括基金招募说明书、《基金合同》、托管协议、基金产品资料概要、基金份额发售公告、基金募集情况、《基金合同》生效公告、基金净值信息、基金份额申购、赎回价格、基金定期报告、包括基金年度报告、基金中期报告和基金季度报告、临时报告、澄清公告、基金份额持有人大会决议、清算报告、</w:t>
      </w:r>
      <w:r>
        <w:rPr>
          <w:rFonts w:asciiTheme="minorEastAsia" w:hAnsiTheme="minorEastAsia" w:cs="Arial" w:hint="eastAsia"/>
          <w:sz w:val="24"/>
        </w:rPr>
        <w:t>投资资产支持证券的信息披露、</w:t>
      </w:r>
      <w:r w:rsidR="00591D00" w:rsidRPr="00591D00">
        <w:rPr>
          <w:rFonts w:asciiTheme="minorEastAsia" w:hAnsiTheme="minorEastAsia" w:cs="Arial" w:hint="eastAsia"/>
          <w:sz w:val="24"/>
        </w:rPr>
        <w:t>参与港股通交易的信息披露</w:t>
      </w:r>
      <w:r>
        <w:rPr>
          <w:rFonts w:asciiTheme="minorEastAsia" w:hAnsiTheme="minorEastAsia" w:cs="Arial" w:hint="eastAsia"/>
          <w:sz w:val="24"/>
        </w:rPr>
        <w:t>、清算报告、实施侧袋机制期间的信息披露</w:t>
      </w:r>
      <w:r>
        <w:rPr>
          <w:rFonts w:ascii="宋体" w:hAnsi="宋体" w:cs="Arial" w:hint="eastAsia"/>
          <w:sz w:val="24"/>
        </w:rPr>
        <w:t>以及中国证监会规定的其他信息。基金年度报告中的财务会计报告需经符合《证券法》规定的会计师事务所审计后，方可披露。</w:t>
      </w:r>
    </w:p>
    <w:p w14:paraId="7B053137"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（三）基金托管人和基金管理人在信息披露中的职责和信息披露程序</w:t>
      </w:r>
    </w:p>
    <w:p w14:paraId="113DF7B4"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1.职责</w:t>
      </w:r>
    </w:p>
    <w:p w14:paraId="11547D73"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上一款规定的应由基金托管人复核的事项进行复核，基金托管人复核无误后，由基金管理人予以公布。</w:t>
      </w:r>
    </w:p>
    <w:p w14:paraId="715D5C12"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对于不需要基金托管人复核的信息，基金管理人在公告前应告知基金托管人。</w:t>
      </w:r>
    </w:p>
    <w:p w14:paraId="25A220B1"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基金管理人和基金托管人应积极配合、互相监督，保证其履行按照法定方式和限时披露的义务。</w:t>
      </w:r>
    </w:p>
    <w:p w14:paraId="57CCED68"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基金管理人应当在中国证监会规定的时间内，将应予披露的基金信息通过规定媒介披露。根据法律法规应由基金托管人公开披露的信息，基金托管人将通过规定媒介或基金托管人的互联网网站公开披露。</w:t>
      </w:r>
    </w:p>
    <w:p w14:paraId="62B1F559" w14:textId="0A4F5C34"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2.程序</w:t>
      </w:r>
    </w:p>
    <w:p w14:paraId="601E44F3"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按有关规定须经基金托管人复核的信息披露文件，由基金管理人起草、并经基金托管人复核后由基金管理人公告。发生《基金合同》中规定需要披露的事项时，按《基金合同》规定公布。</w:t>
      </w:r>
    </w:p>
    <w:p w14:paraId="04481485"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3.信息文本的存放</w:t>
      </w:r>
    </w:p>
    <w:p w14:paraId="5C47D78E"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依法必须披露的信息发布后，基金管理人、基金托管人应当按照相关法律法规规定将信息置备于公司住所，供社会公众查阅、复制。</w:t>
      </w:r>
    </w:p>
    <w:p w14:paraId="4B2546FD"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（四）实施侧袋机制期间的信息披露</w:t>
      </w:r>
    </w:p>
    <w:p w14:paraId="70214108"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本基金实施侧袋机制的，相关信息披露义务人应当根据法律法规、基金合同和招募说明书的规定进行信息披露，详见招募说明书的规定。</w:t>
      </w:r>
    </w:p>
    <w:p w14:paraId="46C8CA0A" w14:textId="77777777" w:rsidR="00353BD1" w:rsidRDefault="00064D22">
      <w:pPr>
        <w:pStyle w:val="a0"/>
        <w:spacing w:line="360" w:lineRule="auto"/>
        <w:ind w:firstLine="480"/>
        <w:rPr>
          <w:rFonts w:ascii="宋体" w:hAnsi="宋体" w:cs="Arial"/>
          <w:sz w:val="24"/>
        </w:rPr>
      </w:pPr>
      <w:r>
        <w:rPr>
          <w:rFonts w:ascii="宋体" w:hAnsi="宋体" w:cs="Arial" w:hint="eastAsia"/>
          <w:sz w:val="24"/>
        </w:rPr>
        <w:t>（五）法律法规或监管部门对适用于本基金的信息披露另有规定的，从其规定。如规定发生变化的，从其最新规定。</w:t>
      </w:r>
    </w:p>
    <w:p w14:paraId="1FFBBE79" w14:textId="77777777" w:rsidR="00353BD1" w:rsidRDefault="00353BD1">
      <w:pPr>
        <w:pStyle w:val="a0"/>
        <w:spacing w:line="360" w:lineRule="auto"/>
        <w:ind w:firstLineChars="0" w:firstLine="0"/>
        <w:rPr>
          <w:rFonts w:ascii="宋体" w:hAnsi="宋体" w:cs="Arial"/>
          <w:sz w:val="24"/>
        </w:rPr>
      </w:pPr>
    </w:p>
    <w:p w14:paraId="17C6DD75" w14:textId="77777777" w:rsidR="00353BD1" w:rsidRDefault="00064D22">
      <w:pPr>
        <w:pStyle w:val="2"/>
        <w:spacing w:line="360" w:lineRule="auto"/>
        <w:jc w:val="center"/>
        <w:rPr>
          <w:rFonts w:ascii="宋体" w:eastAsia="宋体" w:hAnsi="宋体"/>
          <w:sz w:val="30"/>
        </w:rPr>
      </w:pPr>
      <w:bookmarkStart w:id="99" w:name="_Toc124325895"/>
      <w:r>
        <w:rPr>
          <w:rFonts w:ascii="宋体" w:eastAsia="宋体" w:hAnsi="宋体" w:hint="eastAsia"/>
          <w:sz w:val="30"/>
        </w:rPr>
        <w:t>十一、基金费用</w:t>
      </w:r>
      <w:bookmarkEnd w:id="99"/>
    </w:p>
    <w:p w14:paraId="432A9F81" w14:textId="10E5340A"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（一）基金管理费的</w:t>
      </w:r>
      <w:r w:rsidR="000E6C5D">
        <w:rPr>
          <w:rFonts w:ascii="宋体" w:hAnsi="宋体" w:cs="Arial" w:hint="eastAsia"/>
          <w:sz w:val="24"/>
        </w:rPr>
        <w:t>计提比例和</w:t>
      </w:r>
      <w:r>
        <w:rPr>
          <w:rFonts w:ascii="宋体" w:hAnsi="宋体" w:cs="Arial" w:hint="eastAsia"/>
          <w:sz w:val="24"/>
        </w:rPr>
        <w:t>计提方法</w:t>
      </w:r>
    </w:p>
    <w:p w14:paraId="2E66BB11" w14:textId="2190F469" w:rsidR="007A08D0" w:rsidRPr="007A08D0" w:rsidRDefault="007A08D0" w:rsidP="007A08D0">
      <w:pPr>
        <w:adjustRightInd w:val="0"/>
        <w:snapToGrid w:val="0"/>
        <w:spacing w:line="360" w:lineRule="auto"/>
        <w:ind w:firstLineChars="200" w:firstLine="480"/>
        <w:rPr>
          <w:bCs/>
          <w:sz w:val="24"/>
        </w:rPr>
      </w:pPr>
      <w:r w:rsidRPr="007A08D0">
        <w:rPr>
          <w:rFonts w:hint="eastAsia"/>
          <w:bCs/>
          <w:sz w:val="24"/>
        </w:rPr>
        <w:t>本基金的管理费按前一日的基金资产净值扣除本基金持有的基金管理人自身管理的其他基金份额所对应资产净值的剩余部分的</w:t>
      </w:r>
      <w:r w:rsidRPr="007A08D0">
        <w:rPr>
          <w:rFonts w:hint="eastAsia"/>
          <w:bCs/>
          <w:sz w:val="24"/>
        </w:rPr>
        <w:t>0.</w:t>
      </w:r>
      <w:r w:rsidR="00F05FEA">
        <w:rPr>
          <w:bCs/>
          <w:sz w:val="24"/>
        </w:rPr>
        <w:t>8</w:t>
      </w:r>
      <w:r w:rsidR="00F05FEA" w:rsidRPr="007A08D0">
        <w:rPr>
          <w:rFonts w:hint="eastAsia"/>
          <w:bCs/>
          <w:sz w:val="24"/>
        </w:rPr>
        <w:t>0</w:t>
      </w:r>
      <w:r w:rsidRPr="007A08D0">
        <w:rPr>
          <w:rFonts w:hint="eastAsia"/>
          <w:bCs/>
          <w:sz w:val="24"/>
        </w:rPr>
        <w:t>%</w:t>
      </w:r>
      <w:r w:rsidRPr="007A08D0">
        <w:rPr>
          <w:rFonts w:hint="eastAsia"/>
          <w:bCs/>
          <w:sz w:val="24"/>
        </w:rPr>
        <w:t>年费率计提。基金管理人不得对本基金财产中持有的自身管理的其他基金部分收取管理费。管理费的计算方法如下：</w:t>
      </w:r>
    </w:p>
    <w:p w14:paraId="36235192" w14:textId="50FD187D" w:rsidR="007A08D0" w:rsidRPr="007A08D0" w:rsidRDefault="007A08D0" w:rsidP="007A08D0">
      <w:pPr>
        <w:adjustRightInd w:val="0"/>
        <w:snapToGrid w:val="0"/>
        <w:spacing w:line="360" w:lineRule="auto"/>
        <w:ind w:firstLineChars="200" w:firstLine="480"/>
        <w:rPr>
          <w:bCs/>
          <w:sz w:val="24"/>
        </w:rPr>
      </w:pPr>
      <w:r w:rsidRPr="007A08D0">
        <w:rPr>
          <w:rFonts w:hint="eastAsia"/>
          <w:bCs/>
          <w:sz w:val="24"/>
        </w:rPr>
        <w:t>H</w:t>
      </w:r>
      <w:r w:rsidRPr="007A08D0">
        <w:rPr>
          <w:rFonts w:hint="eastAsia"/>
          <w:bCs/>
          <w:sz w:val="24"/>
        </w:rPr>
        <w:t>＝</w:t>
      </w:r>
      <w:r w:rsidRPr="007A08D0">
        <w:rPr>
          <w:rFonts w:hint="eastAsia"/>
          <w:bCs/>
          <w:sz w:val="24"/>
        </w:rPr>
        <w:t>E</w:t>
      </w:r>
      <w:r w:rsidRPr="007A08D0">
        <w:rPr>
          <w:rFonts w:hint="eastAsia"/>
          <w:bCs/>
          <w:sz w:val="24"/>
        </w:rPr>
        <w:t>×</w:t>
      </w:r>
      <w:r w:rsidRPr="007A08D0">
        <w:rPr>
          <w:rFonts w:hint="eastAsia"/>
          <w:bCs/>
          <w:sz w:val="24"/>
        </w:rPr>
        <w:t>0.</w:t>
      </w:r>
      <w:r w:rsidR="00F05FEA">
        <w:rPr>
          <w:bCs/>
          <w:sz w:val="24"/>
        </w:rPr>
        <w:t>8</w:t>
      </w:r>
      <w:r w:rsidR="00F05FEA" w:rsidRPr="007A08D0">
        <w:rPr>
          <w:rFonts w:hint="eastAsia"/>
          <w:bCs/>
          <w:sz w:val="24"/>
        </w:rPr>
        <w:t>0</w:t>
      </w:r>
      <w:r w:rsidRPr="007A08D0">
        <w:rPr>
          <w:rFonts w:hint="eastAsia"/>
          <w:bCs/>
          <w:sz w:val="24"/>
        </w:rPr>
        <w:t>%</w:t>
      </w:r>
      <w:r w:rsidRPr="007A08D0">
        <w:rPr>
          <w:rFonts w:hint="eastAsia"/>
          <w:bCs/>
          <w:sz w:val="24"/>
        </w:rPr>
        <w:t>÷当年天数</w:t>
      </w:r>
    </w:p>
    <w:p w14:paraId="03FD1214" w14:textId="77777777" w:rsidR="007A08D0" w:rsidRPr="007A08D0" w:rsidRDefault="007A08D0" w:rsidP="007A08D0">
      <w:pPr>
        <w:adjustRightInd w:val="0"/>
        <w:snapToGrid w:val="0"/>
        <w:spacing w:line="360" w:lineRule="auto"/>
        <w:ind w:firstLineChars="200" w:firstLine="480"/>
        <w:rPr>
          <w:bCs/>
          <w:sz w:val="24"/>
        </w:rPr>
      </w:pPr>
      <w:r w:rsidRPr="007A08D0">
        <w:rPr>
          <w:rFonts w:hint="eastAsia"/>
          <w:bCs/>
          <w:sz w:val="24"/>
        </w:rPr>
        <w:t>H</w:t>
      </w:r>
      <w:r w:rsidRPr="007A08D0">
        <w:rPr>
          <w:rFonts w:hint="eastAsia"/>
          <w:bCs/>
          <w:sz w:val="24"/>
        </w:rPr>
        <w:t>为每日应计提的基金管理费</w:t>
      </w:r>
    </w:p>
    <w:p w14:paraId="50A38136" w14:textId="6C0CFB7E" w:rsidR="00353BD1" w:rsidRDefault="007A08D0">
      <w:pPr>
        <w:adjustRightInd w:val="0"/>
        <w:snapToGrid w:val="0"/>
        <w:spacing w:line="360" w:lineRule="auto"/>
        <w:ind w:firstLineChars="200" w:firstLine="480"/>
        <w:rPr>
          <w:rFonts w:ascii="宋体" w:hAnsi="宋体" w:cs="Arial"/>
          <w:sz w:val="24"/>
        </w:rPr>
      </w:pPr>
      <w:r w:rsidRPr="007A08D0">
        <w:rPr>
          <w:rFonts w:hint="eastAsia"/>
          <w:bCs/>
          <w:sz w:val="24"/>
        </w:rPr>
        <w:t>E</w:t>
      </w:r>
      <w:r w:rsidRPr="007A08D0">
        <w:rPr>
          <w:rFonts w:hint="eastAsia"/>
          <w:bCs/>
          <w:sz w:val="24"/>
        </w:rPr>
        <w:t>为前一日的基金资产净值扣除本基金持有的基金管理人自身管理的其他基金份额所对应资产净值的剩余部分，</w:t>
      </w:r>
      <w:r w:rsidR="00F05FEA">
        <w:rPr>
          <w:rFonts w:hint="eastAsia"/>
          <w:bCs/>
          <w:sz w:val="24"/>
        </w:rPr>
        <w:t>如扣除后</w:t>
      </w:r>
      <w:r w:rsidR="00F05FEA">
        <w:rPr>
          <w:rFonts w:hint="eastAsia"/>
          <w:bCs/>
          <w:sz w:val="24"/>
        </w:rPr>
        <w:t>E&lt;0</w:t>
      </w:r>
      <w:r w:rsidR="00F05FEA">
        <w:rPr>
          <w:rFonts w:hint="eastAsia"/>
          <w:bCs/>
          <w:sz w:val="24"/>
        </w:rPr>
        <w:t>，则</w:t>
      </w:r>
      <w:r w:rsidR="00F05FEA">
        <w:rPr>
          <w:rFonts w:hint="eastAsia"/>
          <w:bCs/>
          <w:sz w:val="24"/>
        </w:rPr>
        <w:t>E</w:t>
      </w:r>
      <w:r w:rsidR="00F05FEA">
        <w:rPr>
          <w:rFonts w:hint="eastAsia"/>
          <w:bCs/>
          <w:sz w:val="24"/>
        </w:rPr>
        <w:t>取</w:t>
      </w:r>
      <w:r w:rsidR="00F05FEA">
        <w:rPr>
          <w:rFonts w:hint="eastAsia"/>
          <w:bCs/>
          <w:sz w:val="24"/>
        </w:rPr>
        <w:t>0</w:t>
      </w:r>
    </w:p>
    <w:p w14:paraId="2BA0E2D7"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（二）基金托管费的计提比例和计提方法</w:t>
      </w:r>
    </w:p>
    <w:p w14:paraId="68BAF2DC" w14:textId="77777777" w:rsidR="000A43AD" w:rsidRPr="000A43AD" w:rsidRDefault="000A43AD" w:rsidP="000A43AD">
      <w:pPr>
        <w:adjustRightInd w:val="0"/>
        <w:snapToGrid w:val="0"/>
        <w:spacing w:line="360" w:lineRule="auto"/>
        <w:ind w:firstLineChars="200" w:firstLine="480"/>
        <w:rPr>
          <w:rFonts w:ascii="宋体" w:hAnsi="宋体" w:cs="Arial"/>
          <w:sz w:val="24"/>
        </w:rPr>
      </w:pPr>
      <w:r w:rsidRPr="000A43AD">
        <w:rPr>
          <w:rFonts w:ascii="宋体" w:hAnsi="宋体" w:cs="Arial" w:hint="eastAsia"/>
          <w:sz w:val="24"/>
        </w:rPr>
        <w:t>本基金的托管费按前一日的基金资产净值扣除本基金持有的基金托管人自身托管的其他基金份额所对应资产净值的剩余部分的0.15%的年费率计提。基金托管人不得对本基金财产中持有的自身托管的其他基金部分收取托管费。托管费的计算方法如下：</w:t>
      </w:r>
    </w:p>
    <w:p w14:paraId="6703D6F5" w14:textId="77777777" w:rsidR="000A43AD" w:rsidRPr="000A43AD" w:rsidRDefault="000A43AD" w:rsidP="000A43AD">
      <w:pPr>
        <w:adjustRightInd w:val="0"/>
        <w:snapToGrid w:val="0"/>
        <w:spacing w:line="360" w:lineRule="auto"/>
        <w:ind w:firstLineChars="200" w:firstLine="480"/>
        <w:rPr>
          <w:rFonts w:ascii="宋体" w:hAnsi="宋体" w:cs="Arial"/>
          <w:sz w:val="24"/>
        </w:rPr>
      </w:pPr>
      <w:r w:rsidRPr="000A43AD">
        <w:rPr>
          <w:rFonts w:ascii="宋体" w:hAnsi="宋体" w:cs="Arial" w:hint="eastAsia"/>
          <w:sz w:val="24"/>
        </w:rPr>
        <w:t>H＝E×0.15%÷当年天数</w:t>
      </w:r>
    </w:p>
    <w:p w14:paraId="195A6A92" w14:textId="77777777" w:rsidR="000A43AD" w:rsidRPr="000A43AD" w:rsidRDefault="000A43AD" w:rsidP="000A43AD">
      <w:pPr>
        <w:adjustRightInd w:val="0"/>
        <w:snapToGrid w:val="0"/>
        <w:spacing w:line="360" w:lineRule="auto"/>
        <w:ind w:firstLineChars="200" w:firstLine="480"/>
        <w:rPr>
          <w:rFonts w:ascii="宋体" w:hAnsi="宋体" w:cs="Arial"/>
          <w:sz w:val="24"/>
        </w:rPr>
      </w:pPr>
      <w:r w:rsidRPr="000A43AD">
        <w:rPr>
          <w:rFonts w:ascii="宋体" w:hAnsi="宋体" w:cs="Arial" w:hint="eastAsia"/>
          <w:sz w:val="24"/>
        </w:rPr>
        <w:lastRenderedPageBreak/>
        <w:t>H为每日应计提的基金托管费</w:t>
      </w:r>
    </w:p>
    <w:p w14:paraId="7DB2C395" w14:textId="79B09E4F" w:rsidR="00353BD1" w:rsidRDefault="000A43AD">
      <w:pPr>
        <w:adjustRightInd w:val="0"/>
        <w:snapToGrid w:val="0"/>
        <w:spacing w:line="360" w:lineRule="auto"/>
        <w:ind w:firstLineChars="200" w:firstLine="480"/>
        <w:rPr>
          <w:rFonts w:ascii="宋体" w:hAnsi="宋体" w:cs="Arial"/>
          <w:sz w:val="24"/>
        </w:rPr>
      </w:pPr>
      <w:r w:rsidRPr="000A43AD">
        <w:rPr>
          <w:rFonts w:ascii="宋体" w:hAnsi="宋体" w:cs="Arial" w:hint="eastAsia"/>
          <w:sz w:val="24"/>
        </w:rPr>
        <w:t>E为前一日的基金资产净值扣除本基金持有的基金托管人自身托管的其他基金份额所对应资产净值的剩余部分，</w:t>
      </w:r>
      <w:r w:rsidR="00F05FEA">
        <w:rPr>
          <w:rFonts w:hint="eastAsia"/>
          <w:bCs/>
          <w:sz w:val="24"/>
        </w:rPr>
        <w:t>如扣除后</w:t>
      </w:r>
      <w:r w:rsidR="00F05FEA">
        <w:rPr>
          <w:rFonts w:hint="eastAsia"/>
          <w:bCs/>
          <w:sz w:val="24"/>
        </w:rPr>
        <w:t>E&lt;0</w:t>
      </w:r>
      <w:r w:rsidR="00F05FEA">
        <w:rPr>
          <w:rFonts w:hint="eastAsia"/>
          <w:bCs/>
          <w:sz w:val="24"/>
        </w:rPr>
        <w:t>，则</w:t>
      </w:r>
      <w:r w:rsidR="00F05FEA">
        <w:rPr>
          <w:rFonts w:hint="eastAsia"/>
          <w:bCs/>
          <w:sz w:val="24"/>
        </w:rPr>
        <w:t>E</w:t>
      </w:r>
      <w:r w:rsidR="00F05FEA">
        <w:rPr>
          <w:rFonts w:hint="eastAsia"/>
          <w:bCs/>
          <w:sz w:val="24"/>
        </w:rPr>
        <w:t>取</w:t>
      </w:r>
      <w:r w:rsidR="00F05FEA">
        <w:rPr>
          <w:rFonts w:hint="eastAsia"/>
          <w:bCs/>
          <w:sz w:val="24"/>
        </w:rPr>
        <w:t>0</w:t>
      </w:r>
    </w:p>
    <w:p w14:paraId="4E0619F3" w14:textId="79E2C472"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(三）基金销售服务费</w:t>
      </w:r>
    </w:p>
    <w:p w14:paraId="403CC625" w14:textId="1CAA1697" w:rsidR="000A43AD" w:rsidRPr="000A43AD" w:rsidRDefault="000A43AD" w:rsidP="000A43AD">
      <w:pPr>
        <w:adjustRightInd w:val="0"/>
        <w:snapToGrid w:val="0"/>
        <w:spacing w:line="360" w:lineRule="auto"/>
        <w:ind w:firstLineChars="200" w:firstLine="480"/>
        <w:rPr>
          <w:rFonts w:ascii="宋体" w:hAnsi="宋体" w:cs="Arial"/>
          <w:sz w:val="24"/>
        </w:rPr>
      </w:pPr>
      <w:r w:rsidRPr="000A43AD">
        <w:rPr>
          <w:rFonts w:ascii="宋体" w:hAnsi="宋体" w:cs="Arial" w:hint="eastAsia"/>
          <w:sz w:val="24"/>
        </w:rPr>
        <w:t>本基金A类基金份额不收取销售服务费，C类基金份额的销售服务费按前一日C类基金份额资产净值的0.40%年费率计提。计算方法如下：</w:t>
      </w:r>
    </w:p>
    <w:p w14:paraId="768A4C62" w14:textId="21A1A51F" w:rsidR="000A43AD" w:rsidRPr="000A43AD" w:rsidRDefault="000A43AD" w:rsidP="000A43AD">
      <w:pPr>
        <w:adjustRightInd w:val="0"/>
        <w:snapToGrid w:val="0"/>
        <w:spacing w:line="360" w:lineRule="auto"/>
        <w:ind w:firstLineChars="200" w:firstLine="480"/>
        <w:rPr>
          <w:rFonts w:ascii="宋体" w:hAnsi="宋体" w:cs="Arial"/>
          <w:sz w:val="24"/>
        </w:rPr>
      </w:pPr>
      <w:r w:rsidRPr="000A43AD">
        <w:rPr>
          <w:rFonts w:ascii="宋体" w:hAnsi="宋体" w:cs="Arial" w:hint="eastAsia"/>
          <w:sz w:val="24"/>
        </w:rPr>
        <w:t>H＝E×0.40%÷当年天数</w:t>
      </w:r>
    </w:p>
    <w:p w14:paraId="32A14EBA" w14:textId="64B46060" w:rsidR="000A43AD" w:rsidRPr="000A43AD" w:rsidRDefault="000A43AD" w:rsidP="000A43AD">
      <w:pPr>
        <w:adjustRightInd w:val="0"/>
        <w:snapToGrid w:val="0"/>
        <w:spacing w:line="360" w:lineRule="auto"/>
        <w:ind w:firstLineChars="200" w:firstLine="480"/>
        <w:rPr>
          <w:rFonts w:ascii="宋体" w:hAnsi="宋体" w:cs="Arial"/>
          <w:sz w:val="24"/>
        </w:rPr>
      </w:pPr>
      <w:r w:rsidRPr="000A43AD">
        <w:rPr>
          <w:rFonts w:ascii="宋体" w:hAnsi="宋体" w:cs="Arial" w:hint="eastAsia"/>
          <w:sz w:val="24"/>
        </w:rPr>
        <w:t>H为C类基金份额每日应计提的销售服务费</w:t>
      </w:r>
    </w:p>
    <w:p w14:paraId="35CE4502" w14:textId="77B2701D" w:rsidR="00F05FEA" w:rsidRDefault="000A43AD" w:rsidP="00F05FEA">
      <w:pPr>
        <w:adjustRightInd w:val="0"/>
        <w:snapToGrid w:val="0"/>
        <w:spacing w:line="360" w:lineRule="auto"/>
        <w:ind w:firstLineChars="200" w:firstLine="480"/>
        <w:rPr>
          <w:rFonts w:ascii="宋体" w:hAnsi="宋体" w:cs="Arial"/>
          <w:sz w:val="24"/>
        </w:rPr>
      </w:pPr>
      <w:r w:rsidRPr="000A43AD">
        <w:rPr>
          <w:rFonts w:ascii="宋体" w:hAnsi="宋体" w:cs="Arial" w:hint="eastAsia"/>
          <w:sz w:val="24"/>
        </w:rPr>
        <w:t>E为C类基金份额前一日基金资产净值</w:t>
      </w:r>
    </w:p>
    <w:p w14:paraId="139EB3C6" w14:textId="72373E6D"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（四）证券账户开户费用、证券等交易费用、因投资港股通标的</w:t>
      </w:r>
      <w:r w:rsidR="000A43AD">
        <w:rPr>
          <w:rFonts w:ascii="宋体" w:hAnsi="宋体" w:cs="Arial" w:hint="eastAsia"/>
          <w:sz w:val="24"/>
        </w:rPr>
        <w:t>证券</w:t>
      </w:r>
      <w:r>
        <w:rPr>
          <w:rFonts w:ascii="宋体" w:hAnsi="宋体" w:cs="Arial" w:hint="eastAsia"/>
          <w:sz w:val="24"/>
        </w:rPr>
        <w:t>而产生的各项合理费用、基金财产划拨支付的银行费用、账户开户费用和账户维护费用、《基金合同》生效后的信息披露费用、基金份额持有人大会费用、《基金合同》生效后与基金有关的会计师费、律师费</w:t>
      </w:r>
      <w:r>
        <w:rPr>
          <w:rFonts w:asciiTheme="minorEastAsia" w:hAnsiTheme="minorEastAsia" w:cs="Arial" w:hint="eastAsia"/>
          <w:sz w:val="24"/>
        </w:rPr>
        <w:t>、</w:t>
      </w:r>
      <w:r w:rsidR="00FD2AFE">
        <w:rPr>
          <w:rFonts w:asciiTheme="minorEastAsia" w:hAnsiTheme="minorEastAsia" w:cs="Arial" w:hint="eastAsia"/>
          <w:sz w:val="24"/>
        </w:rPr>
        <w:t>公证费、</w:t>
      </w:r>
      <w:r>
        <w:rPr>
          <w:rFonts w:asciiTheme="minorEastAsia" w:hAnsiTheme="minorEastAsia" w:cs="Arial" w:hint="eastAsia"/>
          <w:sz w:val="24"/>
        </w:rPr>
        <w:t>诉讼费和仲裁费</w:t>
      </w:r>
      <w:r w:rsidR="000A5C1E">
        <w:rPr>
          <w:rFonts w:asciiTheme="minorEastAsia" w:hAnsiTheme="minorEastAsia" w:cs="Arial" w:hint="eastAsia"/>
          <w:sz w:val="24"/>
        </w:rPr>
        <w:t>、基金投资其他基金产生的相关费用（</w:t>
      </w:r>
      <w:r w:rsidR="000A5C1E" w:rsidRPr="000A5C1E">
        <w:rPr>
          <w:rFonts w:asciiTheme="minorEastAsia" w:hAnsiTheme="minorEastAsia" w:cs="Arial" w:hint="eastAsia"/>
          <w:sz w:val="24"/>
        </w:rPr>
        <w:t>但法律法规禁止从基金财产中列支的除外</w:t>
      </w:r>
      <w:r w:rsidR="000A5C1E">
        <w:rPr>
          <w:rFonts w:asciiTheme="minorEastAsia" w:hAnsiTheme="minorEastAsia" w:cs="Arial" w:hint="eastAsia"/>
          <w:sz w:val="24"/>
        </w:rPr>
        <w:t>）</w:t>
      </w:r>
      <w:r>
        <w:rPr>
          <w:rFonts w:ascii="宋体" w:hAnsi="宋体" w:cs="Arial" w:hint="eastAsia"/>
          <w:sz w:val="24"/>
        </w:rPr>
        <w:t>等根据有关法律法规、《基金合同》及相应协议的规定，列入当期基金费用。</w:t>
      </w:r>
    </w:p>
    <w:p w14:paraId="32F34368" w14:textId="51E4979D" w:rsidR="003626E4" w:rsidRPr="003626E4" w:rsidRDefault="003626E4">
      <w:pPr>
        <w:adjustRightInd w:val="0"/>
        <w:snapToGrid w:val="0"/>
        <w:spacing w:line="360" w:lineRule="auto"/>
        <w:ind w:firstLineChars="200" w:firstLine="480"/>
        <w:outlineLvl w:val="0"/>
        <w:rPr>
          <w:rFonts w:ascii="宋体" w:hAnsi="宋体" w:cs="Arial"/>
          <w:sz w:val="24"/>
        </w:rPr>
      </w:pPr>
      <w:r w:rsidRPr="003626E4">
        <w:rPr>
          <w:rFonts w:ascii="宋体" w:hAnsi="宋体" w:cs="Arial" w:hint="eastAsia"/>
          <w:sz w:val="24"/>
        </w:rPr>
        <w:t>基金管理人运用本基金财产申购自身管理的基金的（ETF除外），应当通过直销渠道申购且不得收取申购费、赎回费（按照相关法规、基金招募说明书约定应当收取，并计入基金财产的赎回费用除外）、销售服务费等销售费用。</w:t>
      </w:r>
    </w:p>
    <w:p w14:paraId="4A63729E"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（五）不列入基金费用的项目</w:t>
      </w:r>
    </w:p>
    <w:p w14:paraId="6431005F" w14:textId="18569778"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《基金合同》生效前的</w:t>
      </w:r>
      <w:r w:rsidR="003626E4">
        <w:rPr>
          <w:rFonts w:ascii="宋体" w:hAnsi="宋体" w:cs="Arial" w:hint="eastAsia"/>
          <w:sz w:val="24"/>
        </w:rPr>
        <w:t>相关费用（</w:t>
      </w:r>
      <w:r>
        <w:rPr>
          <w:rFonts w:ascii="宋体" w:hAnsi="宋体" w:cs="Arial" w:hint="eastAsia"/>
          <w:sz w:val="24"/>
        </w:rPr>
        <w:t>律师费、会计师费和信息披露费用</w:t>
      </w:r>
      <w:r w:rsidR="003626E4">
        <w:rPr>
          <w:rFonts w:ascii="宋体" w:hAnsi="宋体" w:cs="Arial" w:hint="eastAsia"/>
          <w:sz w:val="24"/>
        </w:rPr>
        <w:t>等）</w:t>
      </w:r>
      <w:r>
        <w:rPr>
          <w:rFonts w:ascii="宋体" w:hAnsi="宋体" w:cs="Arial" w:hint="eastAsia"/>
          <w:sz w:val="24"/>
        </w:rPr>
        <w:t>不得从基金财产中列支；基金管理人和基金托管人因未履行或未完全履行义务导致的费用支出或基金财产的损失，处理与基金运作无关的事项发生的费用以及其他根据相关法律法规及中国证监会的有关规定不得列入基金费用的项目等不列入基金费用。</w:t>
      </w:r>
    </w:p>
    <w:p w14:paraId="5317E2C0" w14:textId="2938D50A"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（六）基金管理费、基金托管费、销售服务费的复核程序、支付方式和时间</w:t>
      </w:r>
    </w:p>
    <w:p w14:paraId="5662BD09"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1.复核程序</w:t>
      </w:r>
    </w:p>
    <w:p w14:paraId="24FAE195"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基金托管人对基金管理人计提的基金管理费、基金托管费、销售服务费等，根据本托管协议和《基金合同》的有关规定进行复核。</w:t>
      </w:r>
    </w:p>
    <w:p w14:paraId="47ACC667"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2.支付方式和时间</w:t>
      </w:r>
    </w:p>
    <w:p w14:paraId="4A443CE0" w14:textId="0D1F0325"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基金管理费、基金托管费每日计提，逐日累计至每月月末，按月支付。由基金</w:t>
      </w:r>
      <w:r>
        <w:rPr>
          <w:rFonts w:ascii="宋体" w:hAnsi="宋体" w:cs="Arial" w:hint="eastAsia"/>
          <w:sz w:val="24"/>
        </w:rPr>
        <w:lastRenderedPageBreak/>
        <w:t>托管人根据与基金管理人核对一致的财务数据，按照与基金管理人协商一致的方式在</w:t>
      </w:r>
      <w:r w:rsidR="00181807">
        <w:rPr>
          <w:rFonts w:ascii="宋体" w:hAnsi="宋体" w:cs="Arial" w:hint="eastAsia"/>
          <w:sz w:val="24"/>
        </w:rPr>
        <w:t>次</w:t>
      </w:r>
      <w:r>
        <w:rPr>
          <w:rFonts w:ascii="宋体" w:hAnsi="宋体" w:cs="Arial" w:hint="eastAsia"/>
          <w:sz w:val="24"/>
        </w:rPr>
        <w:t>月初5个工作日内按照指定的账户路径进行资金支付。若遇法定节假日、</w:t>
      </w:r>
      <w:r w:rsidR="00F11323">
        <w:rPr>
          <w:rFonts w:ascii="宋体" w:hAnsi="宋体" w:cs="Arial" w:hint="eastAsia"/>
          <w:sz w:val="24"/>
        </w:rPr>
        <w:t>公休假</w:t>
      </w:r>
      <w:r>
        <w:rPr>
          <w:rFonts w:ascii="宋体" w:hAnsi="宋体" w:cs="Arial" w:hint="eastAsia"/>
          <w:sz w:val="24"/>
        </w:rPr>
        <w:t>等，支付日期顺延。</w:t>
      </w:r>
      <w:r>
        <w:rPr>
          <w:rFonts w:hint="eastAsia"/>
          <w:bCs/>
          <w:sz w:val="24"/>
        </w:rPr>
        <w:t>费用扣划后，基金管理人应进行核对，如发现数据不符，及时联系基金托管人协商解决。</w:t>
      </w:r>
    </w:p>
    <w:p w14:paraId="60F539B8" w14:textId="77777777" w:rsidR="005D50A8" w:rsidRPr="003D04DC" w:rsidRDefault="005D50A8" w:rsidP="005D50A8">
      <w:pPr>
        <w:adjustRightInd w:val="0"/>
        <w:snapToGrid w:val="0"/>
        <w:spacing w:line="360" w:lineRule="auto"/>
        <w:ind w:firstLineChars="200" w:firstLine="480"/>
        <w:rPr>
          <w:rFonts w:ascii="宋体" w:hAnsi="宋体" w:cs="Arial"/>
          <w:sz w:val="24"/>
        </w:rPr>
      </w:pPr>
      <w:r w:rsidRPr="003D04DC">
        <w:rPr>
          <w:rFonts w:ascii="宋体" w:hAnsi="宋体" w:cs="Arial" w:hint="eastAsia"/>
          <w:sz w:val="24"/>
        </w:rPr>
        <w:t>基金销售服务费每日计提。</w:t>
      </w:r>
    </w:p>
    <w:p w14:paraId="3AB42A73" w14:textId="77777777" w:rsidR="005D50A8" w:rsidRPr="00F57934" w:rsidRDefault="005D50A8" w:rsidP="005D50A8">
      <w:pPr>
        <w:adjustRightInd w:val="0"/>
        <w:snapToGrid w:val="0"/>
        <w:spacing w:line="360" w:lineRule="auto"/>
        <w:ind w:firstLineChars="200" w:firstLine="480"/>
        <w:rPr>
          <w:rFonts w:ascii="宋体" w:hAnsi="宋体" w:cs="Arial"/>
          <w:sz w:val="24"/>
        </w:rPr>
      </w:pPr>
      <w:r w:rsidRPr="003D04DC">
        <w:rPr>
          <w:rFonts w:ascii="宋体" w:hAnsi="宋体" w:cs="Arial" w:hint="eastAsia"/>
          <w:sz w:val="24"/>
        </w:rPr>
        <w:t>（</w:t>
      </w:r>
      <w:r w:rsidRPr="00F57934">
        <w:rPr>
          <w:rFonts w:ascii="宋体" w:hAnsi="宋体" w:cs="Arial" w:hint="eastAsia"/>
          <w:sz w:val="24"/>
        </w:rPr>
        <w:t>1）直销机构：</w:t>
      </w:r>
    </w:p>
    <w:p w14:paraId="2CCD591E" w14:textId="45F8D0B9" w:rsidR="005D50A8" w:rsidRPr="00F57934" w:rsidRDefault="005D50A8" w:rsidP="005D50A8">
      <w:pPr>
        <w:adjustRightInd w:val="0"/>
        <w:snapToGrid w:val="0"/>
        <w:spacing w:line="360" w:lineRule="auto"/>
        <w:ind w:firstLineChars="200" w:firstLine="480"/>
        <w:rPr>
          <w:rFonts w:ascii="宋体" w:hAnsi="宋体" w:cs="Arial"/>
          <w:sz w:val="24"/>
        </w:rPr>
      </w:pPr>
      <w:r w:rsidRPr="00F57934">
        <w:rPr>
          <w:rFonts w:ascii="宋体" w:hAnsi="宋体" w:cs="Arial" w:hint="eastAsia"/>
          <w:sz w:val="24"/>
        </w:rPr>
        <w:t>对于投资者通过直销机构持有的C类基金份额计提的销售服务费，在投资者赎回C类基金份额或基金合同终止时，随赎回款（或清算款）一并返还给投资者。</w:t>
      </w:r>
      <w:r w:rsidR="009C1116" w:rsidRPr="009C1116">
        <w:rPr>
          <w:rFonts w:ascii="宋体" w:hAnsi="宋体" w:cs="Arial" w:hint="eastAsia"/>
          <w:sz w:val="24"/>
        </w:rPr>
        <w:t>若遇法定节假日、公休假或不可抗力等，支付日期顺延。</w:t>
      </w:r>
    </w:p>
    <w:p w14:paraId="5CE0977B" w14:textId="77777777" w:rsidR="005D50A8" w:rsidRPr="00F57934" w:rsidRDefault="005D50A8" w:rsidP="005D50A8">
      <w:pPr>
        <w:adjustRightInd w:val="0"/>
        <w:snapToGrid w:val="0"/>
        <w:spacing w:line="360" w:lineRule="auto"/>
        <w:ind w:firstLineChars="200" w:firstLine="480"/>
        <w:rPr>
          <w:rFonts w:ascii="宋体" w:hAnsi="宋体" w:cs="Arial"/>
          <w:sz w:val="24"/>
        </w:rPr>
      </w:pPr>
      <w:r w:rsidRPr="00F57934">
        <w:rPr>
          <w:rFonts w:ascii="宋体" w:hAnsi="宋体" w:cs="Arial" w:hint="eastAsia"/>
          <w:sz w:val="24"/>
        </w:rPr>
        <w:t>基金管理人基金销售子公司销售母公司所管理基金的，按照本条要求执行。</w:t>
      </w:r>
    </w:p>
    <w:p w14:paraId="2F2043BE" w14:textId="77777777" w:rsidR="005D50A8" w:rsidRPr="00F57934" w:rsidRDefault="005D50A8" w:rsidP="005D50A8">
      <w:pPr>
        <w:adjustRightInd w:val="0"/>
        <w:snapToGrid w:val="0"/>
        <w:spacing w:line="360" w:lineRule="auto"/>
        <w:ind w:firstLineChars="200" w:firstLine="480"/>
        <w:rPr>
          <w:rFonts w:ascii="宋体" w:hAnsi="宋体" w:cs="Arial"/>
          <w:sz w:val="24"/>
        </w:rPr>
      </w:pPr>
      <w:r w:rsidRPr="00F57934">
        <w:rPr>
          <w:rFonts w:ascii="宋体" w:hAnsi="宋体" w:cs="Arial" w:hint="eastAsia"/>
          <w:sz w:val="24"/>
        </w:rPr>
        <w:t>（2）直销机构以外的其他销售机构：</w:t>
      </w:r>
    </w:p>
    <w:p w14:paraId="03D3A5BF" w14:textId="0451B05C" w:rsidR="005D50A8" w:rsidRPr="00F57934" w:rsidRDefault="005D50A8" w:rsidP="005D50A8">
      <w:pPr>
        <w:adjustRightInd w:val="0"/>
        <w:snapToGrid w:val="0"/>
        <w:spacing w:line="360" w:lineRule="auto"/>
        <w:ind w:firstLineChars="200" w:firstLine="480"/>
        <w:rPr>
          <w:rFonts w:ascii="宋体" w:hAnsi="宋体" w:cs="Arial"/>
          <w:sz w:val="24"/>
        </w:rPr>
      </w:pPr>
      <w:r w:rsidRPr="00F57934">
        <w:rPr>
          <w:rFonts w:ascii="宋体" w:hAnsi="宋体" w:cs="Arial" w:hint="eastAsia"/>
          <w:sz w:val="24"/>
        </w:rPr>
        <w:t>对于投资者持续持有期限未超过一年（即365天，下同） 的基金份额收取的销售服务费，逐日累计至每月月末，按月支付，按照与基金管理人协商一致的方式在次月初5个工作日内按照指定的账户路径进行支付。若遇法定节假日、公休假等，支付日期顺延。</w:t>
      </w:r>
    </w:p>
    <w:p w14:paraId="6D04B2E1" w14:textId="142F5098" w:rsidR="005D50A8" w:rsidRDefault="005D50A8" w:rsidP="005D50A8">
      <w:pPr>
        <w:adjustRightInd w:val="0"/>
        <w:snapToGrid w:val="0"/>
        <w:spacing w:line="360" w:lineRule="auto"/>
        <w:ind w:firstLineChars="200" w:firstLine="480"/>
        <w:rPr>
          <w:bCs/>
          <w:sz w:val="24"/>
        </w:rPr>
      </w:pPr>
      <w:r w:rsidRPr="00F57934">
        <w:rPr>
          <w:rFonts w:ascii="宋体" w:hAnsi="宋体" w:cs="Arial" w:hint="eastAsia"/>
          <w:sz w:val="24"/>
        </w:rPr>
        <w:t>对于持续持有期限超过一年的基金份额，持有超过一年后继续计提的销售服务费，在投资者赎回基金份额或基金合同终止时，随赎回款（或清算款）一并返还给投资者</w:t>
      </w:r>
      <w:r w:rsidRPr="003D04DC">
        <w:rPr>
          <w:rFonts w:ascii="宋体" w:hAnsi="宋体" w:cs="Arial" w:hint="eastAsia"/>
          <w:sz w:val="24"/>
        </w:rPr>
        <w:t>。</w:t>
      </w:r>
      <w:r w:rsidR="009C1116" w:rsidRPr="006F0AB4">
        <w:rPr>
          <w:rFonts w:hint="eastAsia"/>
          <w:bCs/>
          <w:sz w:val="24"/>
        </w:rPr>
        <w:t>若遇法定节假日、公休日等，支付日期顺延。</w:t>
      </w:r>
    </w:p>
    <w:p w14:paraId="1D6C8EBB" w14:textId="799DB635" w:rsidR="00375910" w:rsidRDefault="00375910" w:rsidP="00375910">
      <w:pPr>
        <w:spacing w:line="360" w:lineRule="auto"/>
        <w:ind w:firstLineChars="200" w:firstLine="480"/>
        <w:rPr>
          <w:rFonts w:ascii="宋体" w:hAnsi="宋体"/>
          <w:sz w:val="24"/>
        </w:rPr>
      </w:pPr>
      <w:r w:rsidRPr="00496999">
        <w:rPr>
          <w:rFonts w:ascii="宋体" w:hAnsi="宋体" w:hint="eastAsia"/>
          <w:sz w:val="24"/>
        </w:rPr>
        <w:t>费用扣划后，基金管理人应进行核对，如发现数据不符，及时联系基金托管人协商解决。</w:t>
      </w:r>
    </w:p>
    <w:p w14:paraId="32640019" w14:textId="21A6A088" w:rsidR="002D622B" w:rsidRPr="005E2BB4" w:rsidRDefault="002D622B" w:rsidP="005E2BB4">
      <w:pPr>
        <w:adjustRightInd w:val="0"/>
        <w:snapToGrid w:val="0"/>
        <w:spacing w:line="360" w:lineRule="auto"/>
        <w:ind w:firstLineChars="200" w:firstLine="480"/>
        <w:rPr>
          <w:rFonts w:ascii="宋体" w:hAnsi="宋体"/>
          <w:sz w:val="24"/>
        </w:rPr>
      </w:pPr>
      <w:r>
        <w:rPr>
          <w:rFonts w:hint="eastAsia"/>
          <w:bCs/>
          <w:sz w:val="24"/>
        </w:rPr>
        <w:t>基金管理人运用本基金财产申购自身管理的基金的（</w:t>
      </w:r>
      <w:r>
        <w:rPr>
          <w:rFonts w:hint="eastAsia"/>
          <w:bCs/>
          <w:sz w:val="24"/>
        </w:rPr>
        <w:t>ETF</w:t>
      </w:r>
      <w:r>
        <w:rPr>
          <w:rFonts w:hint="eastAsia"/>
          <w:bCs/>
          <w:sz w:val="24"/>
        </w:rPr>
        <w:t>除外），应当通过直销渠道</w:t>
      </w:r>
      <w:r w:rsidRPr="005E2BB4">
        <w:rPr>
          <w:rFonts w:ascii="宋体" w:hAnsi="宋体" w:hint="eastAsia"/>
          <w:sz w:val="24"/>
        </w:rPr>
        <w:t>申购且不得收取申购费、赎回费（按照相关法规、基金招募说明书约定应当收取，并计入基金财产的赎回费用除外）、销售服务费等销售费用。</w:t>
      </w:r>
    </w:p>
    <w:p w14:paraId="448A03A5" w14:textId="6C0F2D31" w:rsidR="0042115F" w:rsidRPr="0042115F" w:rsidRDefault="0042115F" w:rsidP="0042115F">
      <w:pPr>
        <w:adjustRightInd w:val="0"/>
        <w:snapToGrid w:val="0"/>
        <w:spacing w:line="360" w:lineRule="auto"/>
        <w:ind w:firstLineChars="200" w:firstLine="480"/>
        <w:rPr>
          <w:rFonts w:ascii="宋体" w:hAnsi="宋体" w:cs="Arial"/>
          <w:sz w:val="24"/>
        </w:rPr>
      </w:pPr>
      <w:r w:rsidRPr="0042115F">
        <w:rPr>
          <w:rFonts w:ascii="宋体" w:hAnsi="宋体" w:cs="Arial" w:hint="eastAsia"/>
          <w:sz w:val="24"/>
        </w:rPr>
        <w:t>因涉及相关数据，基金管理人及</w:t>
      </w:r>
      <w:r w:rsidR="002A68C7">
        <w:rPr>
          <w:rFonts w:ascii="宋体" w:hAnsi="宋体" w:cs="Arial" w:hint="eastAsia"/>
          <w:sz w:val="24"/>
        </w:rPr>
        <w:t>销售</w:t>
      </w:r>
      <w:r w:rsidRPr="0042115F">
        <w:rPr>
          <w:rFonts w:ascii="宋体" w:hAnsi="宋体" w:cs="Arial" w:hint="eastAsia"/>
          <w:sz w:val="24"/>
        </w:rPr>
        <w:t>机构的销售服务费的计算和复核工作由基金管理人完成，相关信息以注册登记机构计算结果为准，基金托管人不承担复核责任。</w:t>
      </w:r>
    </w:p>
    <w:p w14:paraId="550EAF7E" w14:textId="696F4706"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在首期支付基金管理费、销售服务费前，基金管理人应向托管人出具正式函件指定基金管理费、销售服务费的收款账户。基金管理人如需要变更此账户，应提前5个工作日向托管人出具书面的收款账户变更通知。</w:t>
      </w:r>
    </w:p>
    <w:p w14:paraId="2F6F5F19"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（八）违规处理方式</w:t>
      </w:r>
    </w:p>
    <w:p w14:paraId="5EA01241"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基金托管人发现基金管理人违反《基金法》、《基金合同》、《运作办法》及其他有关规定从基金财产中列支费用时，基金托管人可要求基金管理人予以说明解释，如基金管理人无正当理由，基金托管人可拒绝支付。</w:t>
      </w:r>
    </w:p>
    <w:p w14:paraId="3DE92F17"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（九）实施侧袋机制期间的基金费用</w:t>
      </w:r>
    </w:p>
    <w:p w14:paraId="35C05947" w14:textId="4CE77716"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本基金实施侧袋机制的，与侧袋账户有关的费用可以从侧袋账户中列支，但应待侧袋账户资产变现后方可列支，有关费用可酌情收取或减免，但不得收取基金管理费，详见招募说明书的规定。</w:t>
      </w:r>
    </w:p>
    <w:p w14:paraId="2F2DBD0E" w14:textId="77777777" w:rsidR="00353BD1" w:rsidRDefault="00353BD1">
      <w:pPr>
        <w:adjustRightInd w:val="0"/>
        <w:snapToGrid w:val="0"/>
        <w:spacing w:line="360" w:lineRule="auto"/>
        <w:rPr>
          <w:rFonts w:ascii="宋体" w:hAnsi="宋体" w:cs="Arial"/>
          <w:sz w:val="24"/>
        </w:rPr>
      </w:pPr>
    </w:p>
    <w:p w14:paraId="08BA87C6" w14:textId="77777777" w:rsidR="00353BD1" w:rsidRDefault="00064D22">
      <w:pPr>
        <w:pStyle w:val="2"/>
        <w:spacing w:line="360" w:lineRule="auto"/>
        <w:jc w:val="center"/>
        <w:rPr>
          <w:rFonts w:ascii="宋体" w:eastAsia="宋体" w:hAnsi="宋体"/>
          <w:sz w:val="30"/>
        </w:rPr>
      </w:pPr>
      <w:bookmarkStart w:id="100" w:name="_Toc124325896"/>
      <w:r>
        <w:rPr>
          <w:rFonts w:ascii="宋体" w:eastAsia="宋体" w:hAnsi="宋体" w:hint="eastAsia"/>
          <w:sz w:val="30"/>
        </w:rPr>
        <w:t>十二、基金份额持有人名册的保管</w:t>
      </w:r>
      <w:bookmarkEnd w:id="100"/>
    </w:p>
    <w:p w14:paraId="76F7678E"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基金份额持有人名册至少应包括基金份额持有人的名称和持有的基金份额。基金份额持有人名册由基金注册登记机构根据基金管理人的指令编制和保管，基金管理人和基金托管人应分别保管基金份额持有人名册，保存期不低于法律法规规定的最低期限。如不能妥善保管，则按相关法规承担责任。</w:t>
      </w:r>
    </w:p>
    <w:p w14:paraId="0C4CAE5F"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在基金托管人要求或编制中期报告和年度报告前，基金管理人应将有关资料送交基金托管人，不得无故拒绝或延误提供，并保证其真实性、准确性和完整性。</w:t>
      </w:r>
      <w:r>
        <w:rPr>
          <w:rFonts w:ascii="宋体" w:hAnsi="宋体" w:hint="eastAsia"/>
          <w:kern w:val="0"/>
          <w:sz w:val="24"/>
        </w:rPr>
        <w:t>基金托管人不得将所保管的基金份额持有人名册用于基金托管业务以外的其他用途，并应遵守保密义务。</w:t>
      </w:r>
    </w:p>
    <w:p w14:paraId="74CA28AF" w14:textId="77777777" w:rsidR="00353BD1" w:rsidRDefault="00353BD1">
      <w:pPr>
        <w:adjustRightInd w:val="0"/>
        <w:snapToGrid w:val="0"/>
        <w:spacing w:line="360" w:lineRule="auto"/>
        <w:rPr>
          <w:rFonts w:ascii="宋体" w:hAnsi="宋体" w:cs="Arial"/>
          <w:sz w:val="24"/>
        </w:rPr>
      </w:pPr>
    </w:p>
    <w:p w14:paraId="0A87A7EE" w14:textId="77777777" w:rsidR="00353BD1" w:rsidRDefault="00064D22">
      <w:pPr>
        <w:pStyle w:val="2"/>
        <w:spacing w:line="360" w:lineRule="auto"/>
        <w:jc w:val="center"/>
        <w:rPr>
          <w:rFonts w:ascii="宋体" w:eastAsia="宋体" w:hAnsi="宋体"/>
          <w:sz w:val="30"/>
        </w:rPr>
      </w:pPr>
      <w:bookmarkStart w:id="101" w:name="_Toc124325897"/>
      <w:r>
        <w:rPr>
          <w:rFonts w:ascii="宋体" w:eastAsia="宋体" w:hAnsi="宋体" w:hint="eastAsia"/>
          <w:sz w:val="30"/>
        </w:rPr>
        <w:t>十三、基金有关文件档案的保存</w:t>
      </w:r>
      <w:bookmarkEnd w:id="101"/>
    </w:p>
    <w:p w14:paraId="11420DBC"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（一）档案保存</w:t>
      </w:r>
    </w:p>
    <w:p w14:paraId="2E15A895"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应保存基金财产管理业务活动的记录、账册、报表和其他相关资料。基金托管人应保存基金托管业务活动的记录、账册、报表和其他相关资料。基金管理人和基金托管人都应当按规定的期限保管。保存期限不低于法律法规规定的最低期限。</w:t>
      </w:r>
    </w:p>
    <w:p w14:paraId="0FF13A51"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（二）合同档案的建立</w:t>
      </w:r>
    </w:p>
    <w:p w14:paraId="3456F544"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1.基金管理人签署重大合同文本后，应及时将合同文本正本送达基金托管人处。</w:t>
      </w:r>
    </w:p>
    <w:p w14:paraId="070C0241"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2.基金管理人应及时将与本基金账务处理、资金划拨等有关的合同、协议传真基金托管人。</w:t>
      </w:r>
    </w:p>
    <w:p w14:paraId="72BF3534"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（三）变更与协助</w:t>
      </w:r>
    </w:p>
    <w:p w14:paraId="2C68F192" w14:textId="77777777" w:rsidR="00353BD1" w:rsidRDefault="00064D22">
      <w:pPr>
        <w:adjustRightInd w:val="0"/>
        <w:snapToGrid w:val="0"/>
        <w:spacing w:line="360" w:lineRule="auto"/>
        <w:ind w:firstLineChars="200" w:firstLine="480"/>
        <w:rPr>
          <w:rFonts w:ascii="宋体" w:hAnsi="宋体"/>
          <w:b/>
          <w:bCs/>
          <w:sz w:val="30"/>
          <w:szCs w:val="30"/>
        </w:rPr>
      </w:pPr>
      <w:r>
        <w:rPr>
          <w:rFonts w:ascii="宋体" w:hAnsi="宋体" w:cs="Arial" w:hint="eastAsia"/>
          <w:sz w:val="24"/>
        </w:rPr>
        <w:t>若基金管理人/基金托管人发生变更，未变更的一方有义务协助变更后的接任人接收相应文件。</w:t>
      </w:r>
    </w:p>
    <w:p w14:paraId="5108343F"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（四）基金管理人和基金托管人应按各自职责完整保存原始凭证、记账凭证、基金账册、交易记录和重要合同等，承担保密义务并保存</w:t>
      </w:r>
      <w:r>
        <w:rPr>
          <w:rFonts w:ascii="宋体" w:hAnsi="宋体" w:hint="eastAsia"/>
          <w:color w:val="000000"/>
        </w:rPr>
        <w:t>不低于</w:t>
      </w:r>
      <w:r>
        <w:rPr>
          <w:rFonts w:ascii="宋体" w:hAnsi="宋体" w:hint="eastAsia"/>
          <w:color w:val="000000"/>
          <w:szCs w:val="21"/>
        </w:rPr>
        <w:t>法律法规规定的最低期限</w:t>
      </w:r>
      <w:r>
        <w:rPr>
          <w:rFonts w:ascii="宋体" w:hAnsi="宋体" w:cs="Arial" w:hint="eastAsia"/>
          <w:sz w:val="24"/>
        </w:rPr>
        <w:t>。</w:t>
      </w:r>
    </w:p>
    <w:p w14:paraId="42C9364B" w14:textId="77777777" w:rsidR="00353BD1" w:rsidRDefault="00353BD1">
      <w:pPr>
        <w:adjustRightInd w:val="0"/>
        <w:snapToGrid w:val="0"/>
        <w:spacing w:line="360" w:lineRule="auto"/>
        <w:rPr>
          <w:rFonts w:ascii="宋体" w:hAnsi="宋体"/>
          <w:sz w:val="30"/>
          <w:szCs w:val="30"/>
        </w:rPr>
      </w:pPr>
    </w:p>
    <w:p w14:paraId="3C34BA2E" w14:textId="77777777" w:rsidR="00353BD1" w:rsidRDefault="00064D22">
      <w:pPr>
        <w:pStyle w:val="2"/>
        <w:spacing w:line="360" w:lineRule="auto"/>
        <w:jc w:val="center"/>
        <w:rPr>
          <w:rFonts w:ascii="宋体" w:eastAsia="宋体" w:hAnsi="宋体"/>
          <w:sz w:val="30"/>
        </w:rPr>
      </w:pPr>
      <w:bookmarkStart w:id="102" w:name="_Toc124325898"/>
      <w:r>
        <w:rPr>
          <w:rFonts w:ascii="宋体" w:eastAsia="宋体" w:hAnsi="宋体" w:hint="eastAsia"/>
          <w:sz w:val="30"/>
        </w:rPr>
        <w:t>十四、基金管理人和基金托管人的更换</w:t>
      </w:r>
      <w:bookmarkEnd w:id="102"/>
    </w:p>
    <w:p w14:paraId="4DD755DF"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（一）基金管理人职责终止的情形</w:t>
      </w:r>
    </w:p>
    <w:p w14:paraId="590619B6"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1.基金管理人职责终止的情形</w:t>
      </w:r>
    </w:p>
    <w:p w14:paraId="5A1542D1"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有下列情形之一的，基金管理人职责终止：</w:t>
      </w:r>
    </w:p>
    <w:p w14:paraId="7CB134BF"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(1)被依法取消基金管理资格；</w:t>
      </w:r>
    </w:p>
    <w:p w14:paraId="35418803"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(2)依法解散、被依法撤销或被依法宣告破产；</w:t>
      </w:r>
    </w:p>
    <w:p w14:paraId="2E0BA20C"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(3)被基金份额持有人大会解任；</w:t>
      </w:r>
    </w:p>
    <w:p w14:paraId="0F5480BA"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(4)法律法规及中国证监会规定的和《基金合同》约定的其他情形。</w:t>
      </w:r>
    </w:p>
    <w:p w14:paraId="37DB154B"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2.基金管理人的更换程序</w:t>
      </w:r>
    </w:p>
    <w:p w14:paraId="6ACCC126"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更换基金管理人必须依照如下程序进行：</w:t>
      </w:r>
    </w:p>
    <w:p w14:paraId="4C1AC604"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(1)提名：新任基金管理人由基金托管人</w:t>
      </w:r>
      <w:r>
        <w:rPr>
          <w:rFonts w:ascii="宋体" w:hAnsi="宋体" w:hint="eastAsia"/>
          <w:sz w:val="24"/>
        </w:rPr>
        <w:t>或由单独或合计持有10%以上(含10%)基金份额的基金份额持有人</w:t>
      </w:r>
      <w:r>
        <w:rPr>
          <w:rFonts w:ascii="宋体" w:hAnsi="宋体" w:cs="Arial" w:hint="eastAsia"/>
          <w:sz w:val="24"/>
        </w:rPr>
        <w:t>提名；</w:t>
      </w:r>
    </w:p>
    <w:p w14:paraId="3A2B60FE"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(2)决议：基金份额持有人大会在基金管理人职责终止后6个月内对被提名的基金管理人形成决议，该决议需经参加大会的基金份额持有人所持表决权的三分之二以上(含三分之二)表决通过；</w:t>
      </w:r>
    </w:p>
    <w:p w14:paraId="2D34CC70"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(3)临时基金管理人：新任基金管理人产生之前，由中国证监会指定临时基金管理人；</w:t>
      </w:r>
    </w:p>
    <w:p w14:paraId="5D93A832"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(4)备案：基金份额持有人大会选任基金管理人的决议须报中国证监会备案；</w:t>
      </w:r>
    </w:p>
    <w:p w14:paraId="04A87942"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(5)公告：基金管理人更换后，由基金托管人在更换基金管理人的基金份额持</w:t>
      </w:r>
      <w:r>
        <w:rPr>
          <w:rFonts w:ascii="宋体" w:hAnsi="宋体" w:cs="Arial" w:hint="eastAsia"/>
          <w:sz w:val="24"/>
        </w:rPr>
        <w:lastRenderedPageBreak/>
        <w:t>有人大会决议生效后2日内在规定媒介公告；</w:t>
      </w:r>
    </w:p>
    <w:p w14:paraId="4E408C74"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(6)交接：基金管理人职责终止的，基金管理人应妥善保管基金管理业务资料，及时向临时基金管理人或新任基金管理人办理基金管理业务的移交手续，临时基金管理人或新任基金管理人应及时接收。临时基金管理人或新任基金管理人应与基金托管人核对基金净值信息；</w:t>
      </w:r>
    </w:p>
    <w:p w14:paraId="1D590FD1" w14:textId="68DCFE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(7)审计：基金管理人职责终止的，应当按照法律法规规定聘请</w:t>
      </w:r>
      <w:r w:rsidR="0023449A" w:rsidRPr="0023449A">
        <w:rPr>
          <w:rFonts w:ascii="宋体" w:hAnsi="宋体" w:cs="Arial" w:hint="eastAsia"/>
          <w:sz w:val="24"/>
        </w:rPr>
        <w:t>符合《证券法》规定的</w:t>
      </w:r>
      <w:r>
        <w:rPr>
          <w:rFonts w:ascii="宋体" w:hAnsi="宋体" w:cs="Arial" w:hint="eastAsia"/>
          <w:sz w:val="24"/>
        </w:rPr>
        <w:t>会计师事务所对基金财产进行审计，并将审计结果予以公告，同时报中国证监会备案；</w:t>
      </w:r>
    </w:p>
    <w:p w14:paraId="7CC077F3" w14:textId="77777777" w:rsidR="00353BD1" w:rsidRDefault="00064D22">
      <w:pPr>
        <w:adjustRightInd w:val="0"/>
        <w:snapToGrid w:val="0"/>
        <w:spacing w:line="360" w:lineRule="auto"/>
        <w:ind w:firstLineChars="200" w:firstLine="480"/>
        <w:rPr>
          <w:rFonts w:ascii="宋体" w:hAnsi="宋体"/>
          <w:sz w:val="30"/>
          <w:szCs w:val="30"/>
        </w:rPr>
      </w:pPr>
      <w:r>
        <w:rPr>
          <w:rFonts w:ascii="宋体" w:hAnsi="宋体" w:cs="Arial" w:hint="eastAsia"/>
          <w:sz w:val="24"/>
        </w:rPr>
        <w:t>(8)基金名称变更：基金管理人更换后，如果原任或新任基金管理人要求，应按其要求替换或删除基金名称中与原基金管理人有关的名称字样。</w:t>
      </w:r>
    </w:p>
    <w:p w14:paraId="7EC699DD"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（二）基金托管人职责终止的情形</w:t>
      </w:r>
    </w:p>
    <w:p w14:paraId="2409A567"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1.基金托管人职责终止的情形</w:t>
      </w:r>
    </w:p>
    <w:p w14:paraId="211B2C79"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有下列情形之一的，基金托管人职责终止：</w:t>
      </w:r>
    </w:p>
    <w:p w14:paraId="2A85DF72"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(1)被依法取消基金托管资格；</w:t>
      </w:r>
    </w:p>
    <w:p w14:paraId="6CD9E8CF"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(2)依法解散、被依法撤销或被依法宣告破产；</w:t>
      </w:r>
    </w:p>
    <w:p w14:paraId="7EC54994"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(3)被基金份额持有人大会解任；</w:t>
      </w:r>
    </w:p>
    <w:p w14:paraId="71A4A0AF"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(4)法律法规及中国证监会规定的和《基金合同》约定的其他情形。</w:t>
      </w:r>
    </w:p>
    <w:p w14:paraId="53B54565"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2.基金托管人的更换程序</w:t>
      </w:r>
    </w:p>
    <w:p w14:paraId="6C341C37"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(1)提名：新任基金托管人由基金管理人</w:t>
      </w:r>
      <w:r>
        <w:rPr>
          <w:rFonts w:ascii="宋体" w:hAnsi="宋体" w:hint="eastAsia"/>
          <w:sz w:val="24"/>
        </w:rPr>
        <w:t>或由单独或合计持有10%以上(含10%)基金份额的基金份额持有人</w:t>
      </w:r>
      <w:r>
        <w:rPr>
          <w:rFonts w:ascii="宋体" w:hAnsi="宋体" w:cs="Arial" w:hint="eastAsia"/>
          <w:sz w:val="24"/>
        </w:rPr>
        <w:t>提名；</w:t>
      </w:r>
    </w:p>
    <w:p w14:paraId="262B52BB"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(2)决议：基金份额持有人大会在基金托管人职责终止后6个月内对被提名的基金托管人形成决议，该决议需经参加大会的基金份额持有人所持表决权的三分之二以上(含三分之二)表决通过；</w:t>
      </w:r>
    </w:p>
    <w:p w14:paraId="6711A75F"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(3)临时基金托管人：新任基金托管人产生之前，由中国证监会指定临时基金托管人；</w:t>
      </w:r>
    </w:p>
    <w:p w14:paraId="2B4EE6BE"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(4)备案：基金份额持有人大会更换基金托管人的决议须报中国证监会备案；</w:t>
      </w:r>
    </w:p>
    <w:p w14:paraId="0CF6CAD6"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(5)公告：基金托管人更换后，由基金管理人在更换基金托管人的基金份额持有人大会决议生效后 2日内在规定媒介公告；</w:t>
      </w:r>
    </w:p>
    <w:p w14:paraId="72D035FA"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(6)交接：基金托管人职责终止的，应当妥善保管基金财产和基金托管业务资料，及时办理基金财产和基金托管业务的移交手续，新任基金托管人或者临时基金</w:t>
      </w:r>
      <w:r>
        <w:rPr>
          <w:rFonts w:ascii="宋体" w:hAnsi="宋体" w:cs="Arial" w:hint="eastAsia"/>
          <w:sz w:val="24"/>
        </w:rPr>
        <w:lastRenderedPageBreak/>
        <w:t>托管人应当及时接收。新任基金托管人或临时基金托管人与基金管理人核对基金净值信息；</w:t>
      </w:r>
    </w:p>
    <w:p w14:paraId="38B3A78A" w14:textId="54C0C9EF"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(7)审计：基金托管人职责终止的，应当按照法律法规规定聘请</w:t>
      </w:r>
      <w:r w:rsidR="0023449A" w:rsidRPr="0023449A">
        <w:rPr>
          <w:rFonts w:ascii="宋体" w:hAnsi="宋体" w:cs="Arial" w:hint="eastAsia"/>
          <w:sz w:val="24"/>
        </w:rPr>
        <w:t>符合《证券法》规定的</w:t>
      </w:r>
      <w:r>
        <w:rPr>
          <w:rFonts w:ascii="宋体" w:hAnsi="宋体" w:cs="Arial" w:hint="eastAsia"/>
          <w:sz w:val="24"/>
        </w:rPr>
        <w:t>会计师事务所对基金财产进行审计，并将审计结果予以公告，同时报中国证监会备案。</w:t>
      </w:r>
    </w:p>
    <w:p w14:paraId="5F2F2C60"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（三）基金管理人与基金托管人同时更换的条件和程序</w:t>
      </w:r>
    </w:p>
    <w:p w14:paraId="2FC65783"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1.提名：如果基金管理人和基金托管人同时更换，由单独或合计持有基金总份额10%以上(含10%)的基金份额持有人提名新的基金管理人和基金托管人；</w:t>
      </w:r>
    </w:p>
    <w:p w14:paraId="671800FF"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2.基金管理人和基金托管人的更换分别按上述程序进行；</w:t>
      </w:r>
    </w:p>
    <w:p w14:paraId="1EEB309F"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3.公告：新任基金管理人和新任基金托管人应在更换基金管理人和基金托管人的基金份额持有人大会决议生效后2日内在规定媒介上联合公告。</w:t>
      </w:r>
    </w:p>
    <w:p w14:paraId="3FB51283"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四）新任或临时基金管理人接收基金管理业务或新任或临时基金托管人接收基金财产和基金托管业务前，原基金管理人或原基金托管人应继续履行相关职责，并保证不做出对基金份额持有人的利益造成损害的行为。原基金管理人或原基金托管人在继续履行相关职责期间，仍有权按照基金合同和本协议的规定收取基金管理费或基金托管费。</w:t>
      </w:r>
    </w:p>
    <w:p w14:paraId="209401C2" w14:textId="77777777" w:rsidR="00353BD1" w:rsidRDefault="00353BD1">
      <w:pPr>
        <w:adjustRightInd w:val="0"/>
        <w:snapToGrid w:val="0"/>
        <w:spacing w:line="360" w:lineRule="auto"/>
        <w:rPr>
          <w:rFonts w:ascii="宋体" w:hAnsi="宋体" w:cs="Arial"/>
          <w:sz w:val="24"/>
        </w:rPr>
      </w:pPr>
    </w:p>
    <w:p w14:paraId="691444F8" w14:textId="77777777" w:rsidR="00353BD1" w:rsidRDefault="00064D22">
      <w:pPr>
        <w:pStyle w:val="2"/>
        <w:spacing w:line="360" w:lineRule="auto"/>
        <w:jc w:val="center"/>
        <w:rPr>
          <w:rFonts w:ascii="宋体" w:eastAsia="宋体" w:hAnsi="宋体"/>
          <w:sz w:val="30"/>
        </w:rPr>
      </w:pPr>
      <w:bookmarkStart w:id="103" w:name="_Toc124325899"/>
      <w:r>
        <w:rPr>
          <w:rFonts w:ascii="宋体" w:eastAsia="宋体" w:hAnsi="宋体" w:hint="eastAsia"/>
          <w:sz w:val="30"/>
        </w:rPr>
        <w:t>十五、禁止行为</w:t>
      </w:r>
      <w:bookmarkEnd w:id="103"/>
    </w:p>
    <w:p w14:paraId="49A6C199"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本协议当事人禁止从事的行为，包括但不限于：</w:t>
      </w:r>
    </w:p>
    <w:p w14:paraId="1D5DECD1" w14:textId="77777777" w:rsidR="00353BD1" w:rsidRDefault="00064D22">
      <w:pPr>
        <w:spacing w:line="360" w:lineRule="auto"/>
        <w:ind w:firstLineChars="200" w:firstLine="480"/>
        <w:rPr>
          <w:rFonts w:ascii="宋体" w:hAnsi="宋体"/>
          <w:sz w:val="24"/>
        </w:rPr>
      </w:pPr>
      <w:r>
        <w:rPr>
          <w:rFonts w:ascii="宋体" w:hAnsi="宋体" w:hint="eastAsia"/>
          <w:sz w:val="24"/>
        </w:rPr>
        <w:t>（一）基金管理人、基金托管人将其固有财产或者他人财产混同于基金财产从事证券投资。</w:t>
      </w:r>
    </w:p>
    <w:p w14:paraId="3752C66C" w14:textId="77777777" w:rsidR="00353BD1" w:rsidRDefault="00064D22">
      <w:pPr>
        <w:spacing w:line="360" w:lineRule="auto"/>
        <w:ind w:firstLineChars="200" w:firstLine="480"/>
        <w:rPr>
          <w:rFonts w:ascii="宋体" w:hAnsi="宋体"/>
        </w:rPr>
      </w:pPr>
      <w:r>
        <w:rPr>
          <w:rFonts w:ascii="宋体" w:hAnsi="宋体" w:hint="eastAsia"/>
          <w:sz w:val="24"/>
        </w:rPr>
        <w:t>（二）基金管理人不公平地对待其管理的不同基金财产，基金托管人不公平地对待其托管的不同基金财产。</w:t>
      </w:r>
    </w:p>
    <w:p w14:paraId="7D92F56C" w14:textId="77777777" w:rsidR="00353BD1" w:rsidRDefault="00064D22">
      <w:pPr>
        <w:spacing w:line="360" w:lineRule="auto"/>
        <w:ind w:firstLineChars="200" w:firstLine="480"/>
        <w:rPr>
          <w:rFonts w:ascii="宋体" w:hAnsi="宋体"/>
          <w:sz w:val="24"/>
        </w:rPr>
      </w:pPr>
      <w:r>
        <w:rPr>
          <w:rFonts w:ascii="宋体" w:hAnsi="宋体" w:hint="eastAsia"/>
          <w:sz w:val="24"/>
        </w:rPr>
        <w:t>（三）基金管理人、基金托管人利用基金财产为基金份额持有人以外的第三人牟取利益。</w:t>
      </w:r>
    </w:p>
    <w:p w14:paraId="09DE286C" w14:textId="77777777" w:rsidR="00353BD1" w:rsidRDefault="00064D22">
      <w:pPr>
        <w:spacing w:line="360" w:lineRule="auto"/>
        <w:ind w:firstLineChars="200" w:firstLine="480"/>
        <w:rPr>
          <w:rFonts w:ascii="宋体" w:hAnsi="宋体"/>
          <w:sz w:val="24"/>
        </w:rPr>
      </w:pPr>
      <w:r>
        <w:rPr>
          <w:rFonts w:ascii="宋体" w:hAnsi="宋体" w:hint="eastAsia"/>
          <w:sz w:val="24"/>
        </w:rPr>
        <w:t>（四）基金管理人、基金托管人向基金份额持有人违规承诺收益或者承担损失。</w:t>
      </w:r>
    </w:p>
    <w:p w14:paraId="2AC17833"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（五）基金管理人、基金托管人对他人泄露基金运作和管理过程中任何尚未按法律法规规定的方式公开披露的信息。</w:t>
      </w:r>
    </w:p>
    <w:p w14:paraId="5B2D0282" w14:textId="77777777" w:rsidR="00353BD1" w:rsidRDefault="00064D22">
      <w:pPr>
        <w:pStyle w:val="a6"/>
        <w:spacing w:line="360" w:lineRule="auto"/>
        <w:outlineLvl w:val="0"/>
        <w:rPr>
          <w:rFonts w:ascii="宋体" w:eastAsia="宋体" w:hAnsi="宋体" w:cs="Arial"/>
          <w:szCs w:val="24"/>
        </w:rPr>
      </w:pPr>
      <w:r>
        <w:rPr>
          <w:rFonts w:ascii="宋体" w:eastAsia="宋体" w:hAnsi="宋体" w:cs="Arial" w:hint="eastAsia"/>
          <w:szCs w:val="24"/>
        </w:rPr>
        <w:lastRenderedPageBreak/>
        <w:t>（六）基金管理人在没有充足资金的情况下向基金托管人发出投资指令和赎回、分红资金的划拨指令，或违规向基金托管人发出指令。</w:t>
      </w:r>
    </w:p>
    <w:p w14:paraId="68C62817"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（七）基金管理人、基金托管人在行政上、财务上不独立, 其高级管理人员和其他从业人员相互兼职。</w:t>
      </w:r>
    </w:p>
    <w:p w14:paraId="14FCE5A8" w14:textId="77777777" w:rsidR="00353BD1" w:rsidRDefault="00064D22">
      <w:pPr>
        <w:spacing w:line="360" w:lineRule="auto"/>
        <w:ind w:firstLineChars="200" w:firstLine="480"/>
        <w:rPr>
          <w:rFonts w:ascii="宋体" w:hAnsi="宋体" w:cs="Arial"/>
          <w:sz w:val="24"/>
        </w:rPr>
      </w:pPr>
      <w:r>
        <w:rPr>
          <w:rFonts w:ascii="宋体" w:hAnsi="宋体" w:cs="Arial" w:hint="eastAsia"/>
          <w:sz w:val="24"/>
        </w:rPr>
        <w:t>（八）基金托管人私自动用或处分基金财产，根据基金管理人的有效指令、《基金合同》或托管协议的规定进行处分的除外。</w:t>
      </w:r>
    </w:p>
    <w:p w14:paraId="450315B4" w14:textId="78D119F9" w:rsidR="00353BD1" w:rsidRDefault="00064D22" w:rsidP="004F573E">
      <w:pPr>
        <w:spacing w:line="360" w:lineRule="auto"/>
        <w:ind w:firstLineChars="200" w:firstLine="480"/>
        <w:rPr>
          <w:rFonts w:ascii="宋体" w:hAnsi="宋体"/>
          <w:sz w:val="24"/>
        </w:rPr>
      </w:pPr>
      <w:r>
        <w:rPr>
          <w:rFonts w:ascii="宋体" w:hAnsi="宋体" w:hint="eastAsia"/>
          <w:sz w:val="24"/>
        </w:rPr>
        <w:t>（九）</w:t>
      </w:r>
      <w:r>
        <w:rPr>
          <w:rFonts w:ascii="宋体" w:hAnsi="宋体" w:cs="Arial" w:hint="eastAsia"/>
          <w:sz w:val="24"/>
        </w:rPr>
        <w:t>基金财产</w:t>
      </w:r>
      <w:r w:rsidR="004F573E">
        <w:rPr>
          <w:bCs/>
          <w:sz w:val="24"/>
        </w:rPr>
        <w:t>不得</w:t>
      </w:r>
      <w:r>
        <w:rPr>
          <w:rFonts w:ascii="宋体" w:hAnsi="宋体" w:hint="eastAsia"/>
          <w:sz w:val="24"/>
        </w:rPr>
        <w:t>用于下列投资或者活动：1.承销证券；2.违反规定向他人贷款或者提供担保；3.从事承担无限责任的投资；4.向其基金管理人、基金托管人出资；</w:t>
      </w:r>
      <w:r w:rsidR="0023449A">
        <w:rPr>
          <w:rFonts w:ascii="宋体" w:hAnsi="宋体"/>
          <w:sz w:val="24"/>
        </w:rPr>
        <w:t>5</w:t>
      </w:r>
      <w:r>
        <w:rPr>
          <w:rFonts w:ascii="宋体" w:hAnsi="宋体" w:hint="eastAsia"/>
          <w:sz w:val="24"/>
        </w:rPr>
        <w:t>.从事内幕交易、操纵证券交易价格及其他不正当的证券交易活动；</w:t>
      </w:r>
      <w:r w:rsidR="0023449A">
        <w:rPr>
          <w:rFonts w:ascii="宋体" w:hAnsi="宋体"/>
          <w:sz w:val="24"/>
        </w:rPr>
        <w:t>6</w:t>
      </w:r>
      <w:r>
        <w:rPr>
          <w:rFonts w:ascii="宋体" w:hAnsi="宋体" w:hint="eastAsia"/>
          <w:sz w:val="24"/>
        </w:rPr>
        <w:t>.</w:t>
      </w:r>
      <w:r w:rsidR="004F573E" w:rsidRPr="004F573E">
        <w:rPr>
          <w:rFonts w:ascii="宋体" w:hAnsi="宋体" w:hint="eastAsia"/>
          <w:sz w:val="24"/>
        </w:rPr>
        <w:t>持有具有复杂、衍生品性质的基金份额，包括分级基金和中国证监会认定的其他基金份额；7</w:t>
      </w:r>
      <w:r w:rsidR="004F573E">
        <w:rPr>
          <w:rFonts w:ascii="宋体" w:hAnsi="宋体" w:hint="eastAsia"/>
          <w:sz w:val="24"/>
        </w:rPr>
        <w:t>.</w:t>
      </w:r>
      <w:r w:rsidR="004F573E" w:rsidRPr="004F573E">
        <w:rPr>
          <w:rFonts w:ascii="宋体" w:hAnsi="宋体" w:hint="eastAsia"/>
          <w:sz w:val="24"/>
        </w:rPr>
        <w:t>持有货币市场基金、基金中基金、其他投资范围包含基金的基金和本基金基金经理管理的其他基金；</w:t>
      </w:r>
      <w:r w:rsidR="004F573E">
        <w:rPr>
          <w:rFonts w:ascii="宋体" w:hAnsi="宋体" w:hint="eastAsia"/>
          <w:sz w:val="24"/>
        </w:rPr>
        <w:t>8</w:t>
      </w:r>
      <w:r w:rsidR="004F573E">
        <w:rPr>
          <w:rFonts w:ascii="宋体" w:hAnsi="宋体"/>
          <w:sz w:val="24"/>
        </w:rPr>
        <w:t>.</w:t>
      </w:r>
      <w:r>
        <w:rPr>
          <w:rFonts w:ascii="宋体" w:hAnsi="宋体" w:hint="eastAsia"/>
          <w:sz w:val="24"/>
        </w:rPr>
        <w:t>法律、行政法规和国务院证券监督管理机构规定禁止的其他活动。法律法规或监管部门取消上述限制，如适用于本基金，则本基金投资不再受相关限制。</w:t>
      </w:r>
    </w:p>
    <w:p w14:paraId="226472A9" w14:textId="77777777" w:rsidR="00353BD1" w:rsidRDefault="00064D22">
      <w:pPr>
        <w:adjustRightInd w:val="0"/>
        <w:snapToGrid w:val="0"/>
        <w:spacing w:line="360" w:lineRule="auto"/>
        <w:ind w:firstLineChars="200" w:firstLine="480"/>
        <w:outlineLvl w:val="0"/>
        <w:rPr>
          <w:rFonts w:ascii="宋体" w:hAnsi="宋体"/>
          <w:sz w:val="24"/>
        </w:rPr>
      </w:pPr>
      <w:r>
        <w:rPr>
          <w:rFonts w:ascii="宋体" w:hAnsi="宋体" w:hint="eastAsia"/>
          <w:sz w:val="24"/>
        </w:rPr>
        <w:t>（十）法律法规和《基金合同》禁止的其他行为，以及依照法律、行政法规有关规定，由国务院证券监督管理机构规定禁止基金管理人、基金托管人从事的其他行为。</w:t>
      </w:r>
    </w:p>
    <w:p w14:paraId="028F6FD3" w14:textId="77777777" w:rsidR="00353BD1" w:rsidRDefault="00353BD1">
      <w:pPr>
        <w:adjustRightInd w:val="0"/>
        <w:snapToGrid w:val="0"/>
        <w:spacing w:line="360" w:lineRule="auto"/>
        <w:rPr>
          <w:rFonts w:ascii="宋体" w:hAnsi="宋体"/>
          <w:sz w:val="30"/>
          <w:szCs w:val="30"/>
        </w:rPr>
      </w:pPr>
    </w:p>
    <w:p w14:paraId="53C1AE7E" w14:textId="77777777" w:rsidR="00353BD1" w:rsidRDefault="00064D22">
      <w:pPr>
        <w:pStyle w:val="2"/>
        <w:spacing w:line="360" w:lineRule="auto"/>
        <w:jc w:val="center"/>
        <w:rPr>
          <w:rFonts w:ascii="宋体" w:eastAsia="宋体" w:hAnsi="宋体"/>
          <w:sz w:val="30"/>
        </w:rPr>
      </w:pPr>
      <w:bookmarkStart w:id="104" w:name="_Toc124325900"/>
      <w:r>
        <w:rPr>
          <w:rFonts w:ascii="宋体" w:eastAsia="宋体" w:hAnsi="宋体" w:hint="eastAsia"/>
          <w:sz w:val="30"/>
        </w:rPr>
        <w:t>十六、托管协议的变更、终止与基金财产的清算</w:t>
      </w:r>
      <w:bookmarkEnd w:id="104"/>
    </w:p>
    <w:p w14:paraId="4850047F"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（一）托管协议的变更程序</w:t>
      </w:r>
    </w:p>
    <w:p w14:paraId="40C95C1F"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本协议双方当事人经协商一致，可以对协议进行修改。修改后的新协议，其内容不得与《基金合同》的规定有任何冲突。</w:t>
      </w:r>
    </w:p>
    <w:p w14:paraId="07DFDEE4"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（二）托管协议终止的情形</w:t>
      </w:r>
    </w:p>
    <w:p w14:paraId="32768B33"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1.《基金合同》终止；</w:t>
      </w:r>
    </w:p>
    <w:p w14:paraId="08C6EA1D"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2.基金托管人解散、依法被撤销、破产或由其他基金托管人接管基金资产；</w:t>
      </w:r>
    </w:p>
    <w:p w14:paraId="5210120E"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3.基金管理人解散、依法被撤销、破产或由其他基金管理人接管基金管理权；</w:t>
      </w:r>
    </w:p>
    <w:p w14:paraId="4D9193C7"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4.发生法律法规或《基金合同》规定的终止事项。</w:t>
      </w:r>
    </w:p>
    <w:p w14:paraId="64DF1A53"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（三）基金财产的清算</w:t>
      </w:r>
    </w:p>
    <w:p w14:paraId="5E01C49B"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1.基金财产清算小组：自出现《基金合同》终止事由之日起30个工作日内成立清算小组，基金管理人组织基金财产清算小组并在中国证监会的监督下进行基金清算。</w:t>
      </w:r>
    </w:p>
    <w:p w14:paraId="04E06214"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2.基金财产清算小组组成：基金财产清算小组成员由基金管理人、基金托管人、符合《证券法》规定的注册会计师、律师以及中国证监会指定的人员组成。基金财产清算小组可以聘用必要的工作人员。</w:t>
      </w:r>
    </w:p>
    <w:p w14:paraId="2F1F3EBB"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3.基金财产清算小组职责：基金财产清算小组负责基金财产的保管、清理、估价、变现和分配。基金财产清算小组可以依法进行必要的民事活动。</w:t>
      </w:r>
    </w:p>
    <w:p w14:paraId="5CB65EE1"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4.基金财产清算程序：</w:t>
      </w:r>
    </w:p>
    <w:p w14:paraId="5B62BA80"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(1)《基金合同》终止情形出现时，由基金财产清算小组统一接管基金；</w:t>
      </w:r>
    </w:p>
    <w:p w14:paraId="75999564"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(2)对基金财产和债权债务进行清理和确认；</w:t>
      </w:r>
    </w:p>
    <w:p w14:paraId="200515D1"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(3)对基金财产进行估值和变现；</w:t>
      </w:r>
    </w:p>
    <w:p w14:paraId="7E22A965"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(4)制作清算报告；</w:t>
      </w:r>
    </w:p>
    <w:p w14:paraId="12C989EB"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(5)聘请会计师事务所对清算报告进行外部审计，聘请律师事务所对清算报告出具法律意见书；</w:t>
      </w:r>
    </w:p>
    <w:p w14:paraId="58BCCA85"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(6)将清算报告报中国证监会备案并公告；</w:t>
      </w:r>
    </w:p>
    <w:p w14:paraId="5DB23B76"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(7)对基金剩余财产进行分配。</w:t>
      </w:r>
    </w:p>
    <w:p w14:paraId="19A01455"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5.基金财产清算的期限为6个月，但因本基金所持证券的流动性受到限制而不能及时变现的，清算期限相应顺延。</w:t>
      </w:r>
    </w:p>
    <w:p w14:paraId="2D38BB06"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6.清算费用</w:t>
      </w:r>
    </w:p>
    <w:p w14:paraId="746BAD38"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清算费用是指基金财产清算小组在进行基金清算过程中发生的所有合理费用，清算费用由基金财产清算小组优先从基金财产中支付。</w:t>
      </w:r>
    </w:p>
    <w:p w14:paraId="61E12797"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7.基金财产清算剩余资产的分配：</w:t>
      </w:r>
    </w:p>
    <w:p w14:paraId="15B8BB94" w14:textId="6DE2A7AB"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依据基金财产清算的分配方案，将基金财产清算后的全部剩余资产扣除基金财产清算费用、交纳所欠税款并清偿基金债务后，按基金份额持有人持有的各类基金份额比例进行分配，</w:t>
      </w:r>
      <w:r w:rsidR="00414E28">
        <w:rPr>
          <w:rFonts w:ascii="宋体" w:hAnsi="宋体" w:cs="Arial" w:hint="eastAsia"/>
          <w:sz w:val="24"/>
        </w:rPr>
        <w:t>并</w:t>
      </w:r>
      <w:r w:rsidR="00E7748F" w:rsidRPr="00E7748F">
        <w:rPr>
          <w:rFonts w:ascii="宋体" w:hAnsi="宋体" w:cs="Arial" w:hint="eastAsia"/>
          <w:sz w:val="24"/>
        </w:rPr>
        <w:t>加上返还基金份额持有人的销售服务费（如有）</w:t>
      </w:r>
      <w:r>
        <w:rPr>
          <w:rFonts w:ascii="宋体" w:hAnsi="宋体" w:cs="Arial" w:hint="eastAsia"/>
          <w:sz w:val="24"/>
        </w:rPr>
        <w:t>。</w:t>
      </w:r>
    </w:p>
    <w:p w14:paraId="6B00C992"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8.基金财产清算的公告</w:t>
      </w:r>
    </w:p>
    <w:p w14:paraId="1841D7B5"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清算过程中的有关重大事项须及时公告；基金财产清算报告经符合《证券法》规定的会计师事务所审计、并由律师事务所出具法律意见书后，报中国证监会备案并公告。基金财产清算小组应当将清算报告登载在规定网站上，并将清算报告提示</w:t>
      </w:r>
      <w:r>
        <w:rPr>
          <w:rFonts w:ascii="宋体" w:hAnsi="宋体" w:cs="Arial" w:hint="eastAsia"/>
          <w:sz w:val="24"/>
        </w:rPr>
        <w:lastRenderedPageBreak/>
        <w:t>性公告登载在规定报刊上。</w:t>
      </w:r>
    </w:p>
    <w:p w14:paraId="30FD035C"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9.基金财产清算账册及文件的保存</w:t>
      </w:r>
    </w:p>
    <w:p w14:paraId="7576BAA2"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基金财产清算账册及有关文件由基金托管人保存，保存</w:t>
      </w:r>
      <w:r>
        <w:rPr>
          <w:rFonts w:ascii="宋体" w:hAnsi="宋体" w:cs="Arial" w:hint="eastAsia"/>
          <w:bCs/>
          <w:sz w:val="24"/>
        </w:rPr>
        <w:t>期限</w:t>
      </w:r>
      <w:r>
        <w:rPr>
          <w:rFonts w:ascii="宋体" w:hAnsi="宋体" w:cs="Arial" w:hint="eastAsia"/>
          <w:sz w:val="24"/>
        </w:rPr>
        <w:t>不低于法律法规规定的最低期限。</w:t>
      </w:r>
    </w:p>
    <w:p w14:paraId="66E2CD5D" w14:textId="77777777" w:rsidR="00353BD1" w:rsidRDefault="00353BD1">
      <w:pPr>
        <w:adjustRightInd w:val="0"/>
        <w:snapToGrid w:val="0"/>
        <w:spacing w:line="360" w:lineRule="auto"/>
        <w:rPr>
          <w:rFonts w:ascii="宋体" w:hAnsi="宋体" w:cs="Arial"/>
          <w:sz w:val="24"/>
        </w:rPr>
      </w:pPr>
    </w:p>
    <w:p w14:paraId="25ED5402" w14:textId="77777777" w:rsidR="00353BD1" w:rsidRDefault="00064D22">
      <w:pPr>
        <w:pStyle w:val="2"/>
        <w:spacing w:line="360" w:lineRule="auto"/>
        <w:jc w:val="center"/>
        <w:rPr>
          <w:rFonts w:ascii="宋体" w:eastAsia="宋体" w:hAnsi="宋体"/>
          <w:sz w:val="30"/>
        </w:rPr>
      </w:pPr>
      <w:bookmarkStart w:id="105" w:name="_Toc124325901"/>
      <w:r>
        <w:rPr>
          <w:rFonts w:ascii="宋体" w:eastAsia="宋体" w:hAnsi="宋体" w:hint="eastAsia"/>
          <w:sz w:val="30"/>
        </w:rPr>
        <w:t>十七、违约责任</w:t>
      </w:r>
      <w:bookmarkEnd w:id="105"/>
    </w:p>
    <w:p w14:paraId="1CBCA7CC"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（一）基金管理人、基金托管人不履行本协议或履行本协议不符合约定的，应当承担违约责任。</w:t>
      </w:r>
    </w:p>
    <w:p w14:paraId="0C7DF323"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二）基金管理人、基金托管人在履行各自职责的过程中，违反《基金法》或者《基金合同》和本托管协议约定，给基金财产或者基金份额持有人造成损害的，应当分别对各自的行为依法承担赔偿责任；因共同行为给基金财产或者基金份额持有人造成损害的，应当承担连带赔偿责任，对损失的赔偿，仅限于直接损失。</w:t>
      </w:r>
    </w:p>
    <w:p w14:paraId="56E537C4"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三）一方当事人违约，给另一方当事人造成损失的，应就直接损失进行赔偿；给基金财产造成损失的，应就直接损失进行赔偿，另一方当事人有权利及义务代表基金向违约方追偿。但是如发生下列情况之一的，当事人免责：</w:t>
      </w:r>
    </w:p>
    <w:p w14:paraId="329940EE"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1.不可抗力；</w:t>
      </w:r>
    </w:p>
    <w:p w14:paraId="3C5CC56D"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2.基金管理人、基金托管人按照当时有效的法律法规或中国证监会的规定作为或不作为而造成的损失等；</w:t>
      </w:r>
    </w:p>
    <w:p w14:paraId="4E0EADB4"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3.在没有过错的情况下，基金管理人由于按照《基金合同》规定的投资原则投资或不投资造成的直接损失或潜在损失等；</w:t>
      </w:r>
    </w:p>
    <w:p w14:paraId="242ABAB1"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sz w:val="24"/>
        </w:rPr>
        <w:t>4</w:t>
      </w:r>
      <w:r>
        <w:rPr>
          <w:rFonts w:ascii="宋体" w:hAnsi="宋体" w:cs="Arial" w:hint="eastAsia"/>
          <w:sz w:val="24"/>
        </w:rPr>
        <w:t>.非因基金管理人、基金托管人的故意或重大过失造成的计算机系统故障、网络故障、通讯故障、电力故障、计算机病毒攻击及其他意外事故所导致的损失等。</w:t>
      </w:r>
    </w:p>
    <w:p w14:paraId="1648EC26"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14:paraId="06982B1A"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（五）违约行为虽已发生，但本托管协议能够继续履行的，在最大限度地保护基金份额持有人利益的前提下，基金管理人和基金托管人应当继续履行本协议。</w:t>
      </w:r>
    </w:p>
    <w:p w14:paraId="16BA27E4" w14:textId="77777777" w:rsidR="00353BD1" w:rsidRDefault="00064D22">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（六）由于基金管理人、基金托管人不可控制的因素导致业务出现差错，基金</w:t>
      </w:r>
      <w:r>
        <w:rPr>
          <w:rFonts w:ascii="宋体" w:hAnsi="宋体" w:cs="Arial" w:hint="eastAsia"/>
          <w:sz w:val="24"/>
        </w:rPr>
        <w:lastRenderedPageBreak/>
        <w:t>管理人和基金托管人虽然已经采取必要、适当、合理的措施进行检查，但是未能发现错误或未能避免错误发生的，由此造成基金财产或投资人损失，基金管理人和基金托管人免除赔偿责任。但是基金管理人和基金托管人应积极采取必要的措施减轻或消除由此造成的影响。</w:t>
      </w:r>
    </w:p>
    <w:p w14:paraId="7E990614" w14:textId="77777777" w:rsidR="00353BD1" w:rsidRPr="00E50F8F" w:rsidRDefault="00353BD1" w:rsidP="00E50F8F">
      <w:pPr>
        <w:rPr>
          <w:rStyle w:val="read"/>
        </w:rPr>
      </w:pPr>
    </w:p>
    <w:p w14:paraId="4F8B2C91" w14:textId="77777777" w:rsidR="00353BD1" w:rsidRDefault="00064D22">
      <w:pPr>
        <w:pStyle w:val="2"/>
        <w:spacing w:line="360" w:lineRule="auto"/>
        <w:jc w:val="center"/>
        <w:rPr>
          <w:rFonts w:ascii="宋体" w:eastAsia="宋体" w:hAnsi="宋体"/>
          <w:sz w:val="30"/>
        </w:rPr>
      </w:pPr>
      <w:bookmarkStart w:id="106" w:name="_Toc124325902"/>
      <w:r>
        <w:rPr>
          <w:rFonts w:ascii="宋体" w:eastAsia="宋体" w:hAnsi="宋体" w:hint="eastAsia"/>
          <w:sz w:val="30"/>
        </w:rPr>
        <w:t>十八、争议解决方式</w:t>
      </w:r>
      <w:bookmarkEnd w:id="106"/>
    </w:p>
    <w:p w14:paraId="2939A7E5" w14:textId="26CF0E0F"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仲裁费用由败诉方承担。</w:t>
      </w:r>
    </w:p>
    <w:p w14:paraId="23EAC147"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争议处理期间，双方当事人应恪守基金管理人和基金托管人职责，各自继续忠实、勤勉、尽责地履行《基金合同》和本托管协议规定的义务，维护基金份额持有人的合法权益。</w:t>
      </w:r>
    </w:p>
    <w:p w14:paraId="00058668"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本协议受中国法律</w:t>
      </w:r>
      <w:r>
        <w:rPr>
          <w:rFonts w:ascii="等线" w:hAnsi="等线"/>
          <w:bCs/>
          <w:sz w:val="24"/>
        </w:rPr>
        <w:t>（</w:t>
      </w:r>
      <w:r>
        <w:rPr>
          <w:rFonts w:ascii="等线" w:hAnsi="等线" w:hint="eastAsia"/>
          <w:bCs/>
          <w:sz w:val="24"/>
        </w:rPr>
        <w:t>仅为本协议之目的，</w:t>
      </w:r>
      <w:r>
        <w:rPr>
          <w:rFonts w:ascii="等线" w:hAnsi="等线"/>
          <w:bCs/>
          <w:sz w:val="24"/>
        </w:rPr>
        <w:t>不包括香港、澳门特别行政区和台湾地区法律）</w:t>
      </w:r>
      <w:r>
        <w:rPr>
          <w:rFonts w:ascii="宋体" w:hAnsi="宋体" w:cs="Arial" w:hint="eastAsia"/>
          <w:sz w:val="24"/>
        </w:rPr>
        <w:t>管辖。</w:t>
      </w:r>
    </w:p>
    <w:p w14:paraId="6F01ED70" w14:textId="77777777" w:rsidR="00353BD1" w:rsidRDefault="00353BD1">
      <w:pPr>
        <w:adjustRightInd w:val="0"/>
        <w:snapToGrid w:val="0"/>
        <w:spacing w:line="360" w:lineRule="auto"/>
        <w:rPr>
          <w:rFonts w:ascii="宋体" w:hAnsi="宋体" w:cs="Arial"/>
          <w:sz w:val="24"/>
        </w:rPr>
      </w:pPr>
    </w:p>
    <w:p w14:paraId="37FEE198" w14:textId="77777777" w:rsidR="00353BD1" w:rsidRDefault="00064D22">
      <w:pPr>
        <w:pStyle w:val="2"/>
        <w:spacing w:line="360" w:lineRule="auto"/>
        <w:jc w:val="center"/>
        <w:rPr>
          <w:rFonts w:ascii="宋体" w:eastAsia="宋体" w:hAnsi="宋体"/>
          <w:sz w:val="30"/>
        </w:rPr>
      </w:pPr>
      <w:bookmarkStart w:id="107" w:name="_Toc124325903"/>
      <w:r>
        <w:rPr>
          <w:rFonts w:ascii="宋体" w:eastAsia="宋体" w:hAnsi="宋体" w:hint="eastAsia"/>
          <w:sz w:val="30"/>
        </w:rPr>
        <w:t>十九、托管协议的效力</w:t>
      </w:r>
      <w:bookmarkEnd w:id="107"/>
    </w:p>
    <w:p w14:paraId="482147E1"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双方对托管协议的效力约定如下：</w:t>
      </w:r>
    </w:p>
    <w:p w14:paraId="3FCF5D67"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一）基金管理人在向中国证监会申请发售基金份额时提交的托管协议草案，应经托管协议当事人双方加盖公章或合同专业章以及双方法定代表人或授权代表签字（或盖章），协议当事人双方根据中国证监会的意见修改托管协议草案。托管协议以中国证监会备案的文本为正式文本。</w:t>
      </w:r>
    </w:p>
    <w:p w14:paraId="113F0A05"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（二）托管协议自《基金合同》成立之日起成立，自《基金合同》生效之日起生效。托管协议的有效期自其生效之日起至基金财产清算结果报中国证监会备案并公告之日止。</w:t>
      </w:r>
    </w:p>
    <w:p w14:paraId="3A700DE0"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（三）托管协议自生效之日起对托管协议当事人具有同等的法律约束力。</w:t>
      </w:r>
    </w:p>
    <w:p w14:paraId="77D11CB8" w14:textId="3D386259" w:rsidR="00353BD1" w:rsidRDefault="00064D22">
      <w:pPr>
        <w:adjustRightInd w:val="0"/>
        <w:snapToGrid w:val="0"/>
        <w:spacing w:line="360" w:lineRule="auto"/>
        <w:ind w:firstLineChars="200" w:firstLine="480"/>
        <w:rPr>
          <w:rFonts w:ascii="宋体" w:hAnsi="宋体"/>
          <w:sz w:val="30"/>
          <w:szCs w:val="30"/>
        </w:rPr>
      </w:pPr>
      <w:r>
        <w:rPr>
          <w:rFonts w:ascii="宋体" w:hAnsi="宋体" w:cs="Arial" w:hint="eastAsia"/>
          <w:sz w:val="24"/>
        </w:rPr>
        <w:t>（四）本协议一式</w:t>
      </w:r>
      <w:r w:rsidR="0097355E">
        <w:rPr>
          <w:rFonts w:ascii="宋体" w:hAnsi="宋体" w:cs="Arial" w:hint="eastAsia"/>
          <w:sz w:val="24"/>
        </w:rPr>
        <w:t>三</w:t>
      </w:r>
      <w:r>
        <w:rPr>
          <w:rFonts w:ascii="宋体" w:hAnsi="宋体" w:cs="Arial" w:hint="eastAsia"/>
          <w:sz w:val="24"/>
        </w:rPr>
        <w:t>份，协议双方各持</w:t>
      </w:r>
      <w:r w:rsidR="0097355E">
        <w:rPr>
          <w:rFonts w:ascii="宋体" w:hAnsi="宋体" w:cs="Arial" w:hint="eastAsia"/>
          <w:sz w:val="24"/>
        </w:rPr>
        <w:t>一</w:t>
      </w:r>
      <w:r>
        <w:rPr>
          <w:rFonts w:ascii="宋体" w:hAnsi="宋体" w:cs="Arial" w:hint="eastAsia"/>
          <w:sz w:val="24"/>
        </w:rPr>
        <w:t>份，上报监管机构</w:t>
      </w:r>
      <w:r w:rsidR="0097355E">
        <w:rPr>
          <w:rFonts w:ascii="宋体" w:hAnsi="宋体" w:cs="Arial" w:hint="eastAsia"/>
          <w:sz w:val="24"/>
        </w:rPr>
        <w:t>一</w:t>
      </w:r>
      <w:r>
        <w:rPr>
          <w:rFonts w:ascii="宋体" w:hAnsi="宋体" w:cs="Arial" w:hint="eastAsia"/>
          <w:sz w:val="24"/>
        </w:rPr>
        <w:t>份，每份具有同</w:t>
      </w:r>
      <w:r>
        <w:rPr>
          <w:rFonts w:ascii="宋体" w:hAnsi="宋体" w:cs="Arial" w:hint="eastAsia"/>
          <w:sz w:val="24"/>
        </w:rPr>
        <w:lastRenderedPageBreak/>
        <w:t>等的法律效力。</w:t>
      </w:r>
    </w:p>
    <w:p w14:paraId="2C47B096" w14:textId="77777777" w:rsidR="00353BD1" w:rsidRDefault="00353BD1">
      <w:pPr>
        <w:adjustRightInd w:val="0"/>
        <w:snapToGrid w:val="0"/>
        <w:spacing w:line="360" w:lineRule="auto"/>
        <w:rPr>
          <w:rFonts w:ascii="宋体" w:hAnsi="宋体" w:cs="Arial"/>
          <w:sz w:val="24"/>
        </w:rPr>
      </w:pPr>
    </w:p>
    <w:p w14:paraId="554E3A24" w14:textId="77777777" w:rsidR="00353BD1" w:rsidRDefault="00064D22">
      <w:pPr>
        <w:pStyle w:val="2"/>
        <w:spacing w:line="360" w:lineRule="auto"/>
        <w:jc w:val="center"/>
        <w:rPr>
          <w:rFonts w:ascii="宋体" w:eastAsia="宋体" w:hAnsi="宋体"/>
          <w:sz w:val="30"/>
        </w:rPr>
      </w:pPr>
      <w:bookmarkStart w:id="108" w:name="_Toc124325904"/>
      <w:r>
        <w:rPr>
          <w:rFonts w:ascii="宋体" w:eastAsia="宋体" w:hAnsi="宋体" w:hint="eastAsia"/>
          <w:sz w:val="30"/>
        </w:rPr>
        <w:t>二十、其他事项</w:t>
      </w:r>
      <w:bookmarkEnd w:id="108"/>
    </w:p>
    <w:p w14:paraId="35195424"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如发生有权司法机关依法冻结基金份额持有人的基金份额时，基金管理人应予以配合，承担司法协助义务。</w:t>
      </w:r>
    </w:p>
    <w:p w14:paraId="27BDB37C"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除本协议有明确定义外，本协议的用语定义适用《基金合同》的约定。本协议未尽事宜，当事人依据《基金合同》、有关法律法规等规定协商办理。</w:t>
      </w:r>
    </w:p>
    <w:p w14:paraId="339B5DAF" w14:textId="77777777" w:rsidR="00353BD1" w:rsidRDefault="00353BD1">
      <w:pPr>
        <w:adjustRightInd w:val="0"/>
        <w:snapToGrid w:val="0"/>
        <w:spacing w:line="360" w:lineRule="auto"/>
        <w:rPr>
          <w:rFonts w:ascii="宋体" w:hAnsi="宋体"/>
          <w:b/>
          <w:bCs/>
        </w:rPr>
      </w:pPr>
    </w:p>
    <w:p w14:paraId="6A65E0E8" w14:textId="77777777" w:rsidR="00353BD1" w:rsidRDefault="00064D22">
      <w:pPr>
        <w:pStyle w:val="2"/>
        <w:spacing w:line="360" w:lineRule="auto"/>
        <w:jc w:val="center"/>
        <w:rPr>
          <w:rFonts w:ascii="宋体" w:eastAsia="宋体" w:hAnsi="宋体"/>
          <w:sz w:val="30"/>
        </w:rPr>
      </w:pPr>
      <w:bookmarkStart w:id="109" w:name="_Toc124325905"/>
      <w:r>
        <w:rPr>
          <w:rFonts w:ascii="宋体" w:eastAsia="宋体" w:hAnsi="宋体" w:hint="eastAsia"/>
          <w:sz w:val="30"/>
        </w:rPr>
        <w:t>二十一、托管协议的签订</w:t>
      </w:r>
      <w:bookmarkEnd w:id="109"/>
    </w:p>
    <w:p w14:paraId="6172186B" w14:textId="77777777" w:rsidR="00353BD1" w:rsidRDefault="00064D22">
      <w:pPr>
        <w:adjustRightInd w:val="0"/>
        <w:snapToGrid w:val="0"/>
        <w:spacing w:line="360" w:lineRule="auto"/>
        <w:ind w:firstLineChars="200" w:firstLine="480"/>
        <w:rPr>
          <w:rFonts w:ascii="宋体" w:hAnsi="宋体" w:cs="Arial"/>
          <w:sz w:val="24"/>
        </w:rPr>
      </w:pPr>
      <w:r>
        <w:rPr>
          <w:rFonts w:ascii="宋体" w:hAnsi="宋体" w:cs="Arial" w:hint="eastAsia"/>
          <w:sz w:val="24"/>
        </w:rPr>
        <w:t>本协议双方法定代表人或授权代表签字或盖章并加盖双方公章或合同专用章，并列明签订地、签订日。</w:t>
      </w:r>
    </w:p>
    <w:p w14:paraId="391E6161" w14:textId="77777777" w:rsidR="00353BD1" w:rsidRDefault="00353BD1">
      <w:pPr>
        <w:adjustRightInd w:val="0"/>
        <w:snapToGrid w:val="0"/>
        <w:spacing w:line="360" w:lineRule="auto"/>
        <w:ind w:firstLineChars="200" w:firstLine="480"/>
        <w:rPr>
          <w:rFonts w:ascii="宋体" w:hAnsi="宋体" w:cs="Arial"/>
          <w:sz w:val="24"/>
        </w:rPr>
        <w:sectPr w:rsidR="00353BD1">
          <w:headerReference w:type="default" r:id="rId10"/>
          <w:pgSz w:w="11906" w:h="16838"/>
          <w:pgMar w:top="1418" w:right="1701" w:bottom="1418" w:left="1701" w:header="851" w:footer="992" w:gutter="0"/>
          <w:cols w:space="720"/>
          <w:docGrid w:type="lines" w:linePitch="312"/>
        </w:sectPr>
      </w:pPr>
    </w:p>
    <w:p w14:paraId="5D8A8986" w14:textId="1D45A0AC" w:rsidR="00353BD1" w:rsidRDefault="00064D22">
      <w:pPr>
        <w:spacing w:line="360" w:lineRule="auto"/>
        <w:ind w:right="26"/>
        <w:rPr>
          <w:rFonts w:ascii="宋体" w:hAnsi="宋体"/>
          <w:sz w:val="24"/>
        </w:rPr>
      </w:pPr>
      <w:r>
        <w:rPr>
          <w:rFonts w:ascii="宋体" w:hAnsi="宋体" w:hint="eastAsia"/>
          <w:sz w:val="24"/>
        </w:rPr>
        <w:lastRenderedPageBreak/>
        <w:t>本页无正文，为《</w:t>
      </w:r>
      <w:r w:rsidR="0084246F">
        <w:rPr>
          <w:rFonts w:ascii="宋体" w:hAnsi="宋体" w:hint="eastAsia"/>
          <w:sz w:val="24"/>
        </w:rPr>
        <w:t>广发稳航混合型证券投资基金</w:t>
      </w:r>
      <w:r>
        <w:rPr>
          <w:rFonts w:ascii="宋体" w:hAnsi="宋体" w:hint="eastAsia"/>
          <w:sz w:val="24"/>
        </w:rPr>
        <w:t>托管协议》的签字盖章页。</w:t>
      </w:r>
    </w:p>
    <w:p w14:paraId="26CAB7DE" w14:textId="77777777" w:rsidR="00353BD1" w:rsidRDefault="00353BD1">
      <w:pPr>
        <w:spacing w:line="360" w:lineRule="auto"/>
        <w:rPr>
          <w:rFonts w:ascii="宋体" w:hAnsi="宋体"/>
          <w:sz w:val="24"/>
        </w:rPr>
      </w:pPr>
    </w:p>
    <w:p w14:paraId="49FC7F7D" w14:textId="77777777" w:rsidR="00353BD1" w:rsidRDefault="00353BD1">
      <w:pPr>
        <w:spacing w:line="360" w:lineRule="auto"/>
        <w:rPr>
          <w:rFonts w:ascii="宋体" w:hAnsi="宋体"/>
          <w:sz w:val="24"/>
        </w:rPr>
      </w:pPr>
    </w:p>
    <w:p w14:paraId="76B3AEF4" w14:textId="77777777" w:rsidR="00353BD1" w:rsidRDefault="00353BD1">
      <w:pPr>
        <w:spacing w:line="360" w:lineRule="auto"/>
        <w:rPr>
          <w:rFonts w:ascii="宋体" w:hAnsi="宋体"/>
          <w:sz w:val="24"/>
        </w:rPr>
      </w:pPr>
    </w:p>
    <w:p w14:paraId="664BD0F5" w14:textId="77777777" w:rsidR="00353BD1" w:rsidRDefault="00064D22">
      <w:pPr>
        <w:spacing w:line="360" w:lineRule="auto"/>
        <w:ind w:right="26"/>
        <w:rPr>
          <w:rFonts w:ascii="宋体" w:hAnsi="宋体"/>
          <w:sz w:val="24"/>
        </w:rPr>
      </w:pPr>
      <w:r>
        <w:rPr>
          <w:rFonts w:ascii="宋体" w:hAnsi="宋体" w:hint="eastAsia"/>
          <w:sz w:val="24"/>
        </w:rPr>
        <w:t>基金管理人：广发基金管理有限公司（盖章）</w:t>
      </w:r>
    </w:p>
    <w:p w14:paraId="059C2CD6" w14:textId="77777777" w:rsidR="00353BD1" w:rsidRDefault="00353BD1">
      <w:pPr>
        <w:spacing w:line="360" w:lineRule="auto"/>
        <w:ind w:right="26"/>
        <w:rPr>
          <w:rFonts w:ascii="宋体" w:hAnsi="宋体"/>
          <w:sz w:val="24"/>
        </w:rPr>
      </w:pPr>
    </w:p>
    <w:p w14:paraId="5370BB73" w14:textId="77777777" w:rsidR="00353BD1" w:rsidRDefault="00353BD1">
      <w:pPr>
        <w:spacing w:line="360" w:lineRule="auto"/>
        <w:ind w:right="26"/>
        <w:rPr>
          <w:rFonts w:ascii="宋体" w:hAnsi="宋体"/>
          <w:sz w:val="24"/>
        </w:rPr>
      </w:pPr>
    </w:p>
    <w:p w14:paraId="26D3FCFA" w14:textId="77777777" w:rsidR="00353BD1" w:rsidRDefault="00353BD1">
      <w:pPr>
        <w:spacing w:line="360" w:lineRule="auto"/>
        <w:ind w:right="26"/>
        <w:rPr>
          <w:rFonts w:ascii="宋体" w:hAnsi="宋体"/>
          <w:sz w:val="24"/>
        </w:rPr>
      </w:pPr>
    </w:p>
    <w:p w14:paraId="2D9CC043" w14:textId="77777777" w:rsidR="00353BD1" w:rsidRDefault="00353BD1">
      <w:pPr>
        <w:spacing w:line="360" w:lineRule="auto"/>
        <w:ind w:right="26"/>
        <w:rPr>
          <w:rFonts w:ascii="宋体" w:hAnsi="宋体"/>
          <w:sz w:val="24"/>
        </w:rPr>
      </w:pPr>
    </w:p>
    <w:p w14:paraId="7188A214" w14:textId="77777777" w:rsidR="00353BD1" w:rsidRDefault="00064D22">
      <w:pPr>
        <w:spacing w:line="360" w:lineRule="auto"/>
        <w:ind w:right="26"/>
        <w:rPr>
          <w:rFonts w:ascii="宋体" w:hAnsi="宋体"/>
          <w:sz w:val="24"/>
        </w:rPr>
      </w:pPr>
      <w:r>
        <w:rPr>
          <w:rFonts w:ascii="宋体" w:hAnsi="宋体" w:hint="eastAsia"/>
          <w:sz w:val="24"/>
        </w:rPr>
        <w:t xml:space="preserve">法定代表人或授权代表：                   </w:t>
      </w:r>
    </w:p>
    <w:p w14:paraId="21BECE02" w14:textId="77777777" w:rsidR="00353BD1" w:rsidRDefault="00353BD1">
      <w:pPr>
        <w:spacing w:line="360" w:lineRule="auto"/>
        <w:ind w:right="26"/>
        <w:rPr>
          <w:rFonts w:ascii="宋体" w:hAnsi="宋体"/>
          <w:sz w:val="24"/>
        </w:rPr>
      </w:pPr>
    </w:p>
    <w:p w14:paraId="2FF1D634" w14:textId="77777777" w:rsidR="00353BD1" w:rsidRDefault="00353BD1">
      <w:pPr>
        <w:spacing w:line="360" w:lineRule="auto"/>
        <w:ind w:right="26"/>
        <w:rPr>
          <w:rFonts w:ascii="宋体" w:hAnsi="宋体"/>
          <w:sz w:val="24"/>
        </w:rPr>
      </w:pPr>
    </w:p>
    <w:p w14:paraId="6BB35A8F" w14:textId="77777777" w:rsidR="00353BD1" w:rsidRDefault="00353BD1">
      <w:pPr>
        <w:spacing w:line="360" w:lineRule="auto"/>
        <w:ind w:right="26"/>
        <w:rPr>
          <w:rFonts w:ascii="宋体" w:hAnsi="宋体"/>
          <w:sz w:val="24"/>
        </w:rPr>
      </w:pPr>
    </w:p>
    <w:p w14:paraId="5AA61FB3" w14:textId="77777777" w:rsidR="00353BD1" w:rsidRDefault="00353BD1">
      <w:pPr>
        <w:spacing w:line="360" w:lineRule="auto"/>
        <w:ind w:right="26"/>
        <w:rPr>
          <w:rFonts w:ascii="宋体" w:hAnsi="宋体"/>
          <w:sz w:val="24"/>
        </w:rPr>
      </w:pPr>
    </w:p>
    <w:p w14:paraId="321B0AB1" w14:textId="77777777" w:rsidR="00353BD1" w:rsidRDefault="00353BD1">
      <w:pPr>
        <w:spacing w:line="360" w:lineRule="auto"/>
        <w:ind w:right="26"/>
        <w:rPr>
          <w:rFonts w:ascii="宋体" w:hAnsi="宋体"/>
          <w:sz w:val="24"/>
        </w:rPr>
      </w:pPr>
    </w:p>
    <w:p w14:paraId="5275FB05" w14:textId="77777777" w:rsidR="00353BD1" w:rsidRDefault="00064D22">
      <w:pPr>
        <w:spacing w:line="360" w:lineRule="auto"/>
        <w:ind w:right="26"/>
        <w:rPr>
          <w:rFonts w:ascii="宋体" w:hAnsi="宋体"/>
          <w:sz w:val="24"/>
        </w:rPr>
      </w:pPr>
      <w:r>
        <w:rPr>
          <w:rFonts w:ascii="宋体" w:hAnsi="宋体" w:hint="eastAsia"/>
          <w:sz w:val="24"/>
        </w:rPr>
        <w:t>基金托管人：中国建设银行股份有限公司（盖章）</w:t>
      </w:r>
    </w:p>
    <w:p w14:paraId="132BDD0A" w14:textId="77777777" w:rsidR="00353BD1" w:rsidRDefault="00353BD1">
      <w:pPr>
        <w:spacing w:line="360" w:lineRule="auto"/>
        <w:ind w:right="26"/>
        <w:rPr>
          <w:rFonts w:ascii="宋体" w:hAnsi="宋体"/>
          <w:sz w:val="24"/>
        </w:rPr>
      </w:pPr>
    </w:p>
    <w:p w14:paraId="14CB8388" w14:textId="77777777" w:rsidR="00353BD1" w:rsidRDefault="00353BD1">
      <w:pPr>
        <w:spacing w:line="360" w:lineRule="auto"/>
        <w:ind w:right="26"/>
        <w:rPr>
          <w:rFonts w:ascii="宋体" w:hAnsi="宋体"/>
          <w:sz w:val="24"/>
        </w:rPr>
      </w:pPr>
    </w:p>
    <w:p w14:paraId="5E81A30A" w14:textId="77777777" w:rsidR="00353BD1" w:rsidRDefault="00353BD1">
      <w:pPr>
        <w:spacing w:line="360" w:lineRule="auto"/>
        <w:ind w:right="26"/>
        <w:rPr>
          <w:rFonts w:ascii="宋体" w:hAnsi="宋体"/>
          <w:sz w:val="24"/>
        </w:rPr>
      </w:pPr>
    </w:p>
    <w:p w14:paraId="2E589E09" w14:textId="77777777" w:rsidR="00353BD1" w:rsidRDefault="00353BD1">
      <w:pPr>
        <w:spacing w:line="360" w:lineRule="auto"/>
        <w:ind w:right="26"/>
        <w:rPr>
          <w:rFonts w:ascii="宋体" w:hAnsi="宋体"/>
          <w:sz w:val="24"/>
        </w:rPr>
      </w:pPr>
    </w:p>
    <w:p w14:paraId="18B38C39" w14:textId="77777777" w:rsidR="00353BD1" w:rsidRDefault="00064D22">
      <w:pPr>
        <w:spacing w:line="360" w:lineRule="auto"/>
        <w:ind w:right="26"/>
        <w:rPr>
          <w:rFonts w:ascii="宋体" w:hAnsi="宋体"/>
          <w:sz w:val="24"/>
        </w:rPr>
      </w:pPr>
      <w:r>
        <w:rPr>
          <w:rFonts w:ascii="宋体" w:hAnsi="宋体" w:hint="eastAsia"/>
          <w:sz w:val="24"/>
        </w:rPr>
        <w:t xml:space="preserve">法定代表人或授权代表：                   </w:t>
      </w:r>
    </w:p>
    <w:p w14:paraId="3B172F17" w14:textId="77777777" w:rsidR="00353BD1" w:rsidRDefault="00353BD1">
      <w:pPr>
        <w:spacing w:line="360" w:lineRule="auto"/>
        <w:ind w:right="26"/>
        <w:rPr>
          <w:rFonts w:ascii="宋体" w:hAnsi="宋体"/>
          <w:b/>
          <w:sz w:val="24"/>
          <w:szCs w:val="28"/>
        </w:rPr>
      </w:pPr>
    </w:p>
    <w:p w14:paraId="03764AAB" w14:textId="77777777" w:rsidR="00353BD1" w:rsidRDefault="00353BD1">
      <w:pPr>
        <w:spacing w:line="360" w:lineRule="auto"/>
        <w:ind w:right="26"/>
        <w:rPr>
          <w:rFonts w:ascii="宋体" w:hAnsi="宋体"/>
          <w:b/>
          <w:sz w:val="24"/>
          <w:szCs w:val="28"/>
        </w:rPr>
      </w:pPr>
    </w:p>
    <w:p w14:paraId="6C1B3645" w14:textId="77777777" w:rsidR="00353BD1" w:rsidRDefault="00353BD1">
      <w:pPr>
        <w:spacing w:line="360" w:lineRule="auto"/>
        <w:ind w:right="26"/>
        <w:rPr>
          <w:rFonts w:ascii="宋体" w:hAnsi="宋体"/>
          <w:b/>
          <w:sz w:val="24"/>
          <w:szCs w:val="28"/>
        </w:rPr>
      </w:pPr>
    </w:p>
    <w:p w14:paraId="6AFDDF16" w14:textId="77777777" w:rsidR="00353BD1" w:rsidRDefault="00064D22">
      <w:pPr>
        <w:spacing w:line="360" w:lineRule="auto"/>
        <w:ind w:right="26"/>
        <w:rPr>
          <w:rFonts w:ascii="宋体" w:hAnsi="宋体"/>
          <w:b/>
          <w:sz w:val="24"/>
          <w:szCs w:val="28"/>
        </w:rPr>
      </w:pPr>
      <w:r>
        <w:rPr>
          <w:rFonts w:ascii="宋体" w:hAnsi="宋体" w:hint="eastAsia"/>
          <w:b/>
          <w:sz w:val="24"/>
          <w:szCs w:val="28"/>
        </w:rPr>
        <w:t>签订地点：北京</w:t>
      </w:r>
    </w:p>
    <w:p w14:paraId="28645018" w14:textId="77777777" w:rsidR="00353BD1" w:rsidRDefault="00064D22">
      <w:pPr>
        <w:spacing w:line="360" w:lineRule="auto"/>
        <w:ind w:right="26"/>
        <w:rPr>
          <w:rFonts w:ascii="宋体" w:hAnsi="宋体"/>
          <w:b/>
          <w:sz w:val="24"/>
          <w:szCs w:val="28"/>
        </w:rPr>
      </w:pPr>
      <w:r>
        <w:rPr>
          <w:rFonts w:ascii="宋体" w:hAnsi="宋体" w:hint="eastAsia"/>
          <w:b/>
          <w:sz w:val="24"/>
          <w:szCs w:val="28"/>
        </w:rPr>
        <w:t>签 订 日：二零二</w:t>
      </w:r>
      <w:r>
        <w:rPr>
          <w:rFonts w:ascii="宋体" w:hAnsi="宋体" w:cs="宋体" w:hint="eastAsia"/>
          <w:b/>
          <w:sz w:val="24"/>
          <w:szCs w:val="28"/>
        </w:rPr>
        <w:t xml:space="preserve">  </w:t>
      </w:r>
      <w:r>
        <w:rPr>
          <w:rFonts w:ascii="宋体" w:hAnsi="宋体" w:hint="eastAsia"/>
          <w:b/>
          <w:sz w:val="24"/>
          <w:szCs w:val="28"/>
        </w:rPr>
        <w:t>年</w:t>
      </w:r>
      <w:r>
        <w:rPr>
          <w:rFonts w:ascii="宋体" w:hAnsi="宋体" w:cs="宋体" w:hint="eastAsia"/>
          <w:b/>
          <w:sz w:val="24"/>
          <w:szCs w:val="28"/>
        </w:rPr>
        <w:t xml:space="preserve">   </w:t>
      </w:r>
      <w:r>
        <w:rPr>
          <w:rFonts w:ascii="宋体" w:hAnsi="宋体" w:hint="eastAsia"/>
          <w:b/>
          <w:sz w:val="24"/>
          <w:szCs w:val="28"/>
        </w:rPr>
        <w:t>月</w:t>
      </w:r>
      <w:r>
        <w:rPr>
          <w:rFonts w:ascii="宋体" w:hAnsi="宋体" w:cs="宋体" w:hint="eastAsia"/>
          <w:b/>
          <w:sz w:val="24"/>
          <w:szCs w:val="28"/>
        </w:rPr>
        <w:t xml:space="preserve">   </w:t>
      </w:r>
      <w:r>
        <w:rPr>
          <w:rFonts w:ascii="宋体" w:hAnsi="宋体" w:hint="eastAsia"/>
          <w:b/>
          <w:sz w:val="24"/>
          <w:szCs w:val="28"/>
        </w:rPr>
        <w:t>日</w:t>
      </w:r>
    </w:p>
    <w:p w14:paraId="2B61815C" w14:textId="77777777" w:rsidR="00353BD1" w:rsidRDefault="00353BD1">
      <w:pPr>
        <w:adjustRightInd w:val="0"/>
        <w:snapToGrid w:val="0"/>
        <w:spacing w:line="360" w:lineRule="auto"/>
        <w:rPr>
          <w:rFonts w:ascii="宋体" w:hAnsi="宋体" w:cs="Arial"/>
          <w:sz w:val="24"/>
        </w:rPr>
      </w:pPr>
    </w:p>
    <w:p w14:paraId="56AC7BB0" w14:textId="77777777" w:rsidR="00353BD1" w:rsidRDefault="00353BD1">
      <w:pPr>
        <w:spacing w:line="360" w:lineRule="auto"/>
        <w:rPr>
          <w:rFonts w:ascii="宋体" w:hAnsi="宋体"/>
        </w:rPr>
      </w:pPr>
    </w:p>
    <w:sectPr w:rsidR="00353BD1">
      <w:headerReference w:type="default" r:id="rId11"/>
      <w:footerReference w:type="default" r:id="rId12"/>
      <w:pgSz w:w="11906" w:h="16838"/>
      <w:pgMar w:top="1418" w:right="1701" w:bottom="1418"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FDA1C" w14:textId="77777777" w:rsidR="00D50231" w:rsidRDefault="00D50231">
      <w:r>
        <w:separator/>
      </w:r>
    </w:p>
  </w:endnote>
  <w:endnote w:type="continuationSeparator" w:id="0">
    <w:p w14:paraId="6370338E" w14:textId="77777777" w:rsidR="00D50231" w:rsidRDefault="00D50231">
      <w:r>
        <w:continuationSeparator/>
      </w:r>
    </w:p>
  </w:endnote>
  <w:endnote w:type="continuationNotice" w:id="1">
    <w:p w14:paraId="01F3980D" w14:textId="77777777" w:rsidR="00D50231" w:rsidRDefault="00D502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仿宋简体">
    <w:altName w:val="微软雅黑"/>
    <w:charset w:val="86"/>
    <w:family w:val="auto"/>
    <w:pitch w:val="default"/>
    <w:sig w:usb0="00000000" w:usb1="00000000" w:usb2="00000012" w:usb3="00000000" w:csb0="00040001" w:csb1="00000000"/>
  </w:font>
  <w:font w:name="Arial Unicode MS">
    <w:panose1 w:val="020B0604020202020204"/>
    <w:charset w:val="86"/>
    <w:family w:val="swiss"/>
    <w:pitch w:val="variable"/>
    <w:sig w:usb0="F7FFAFFF" w:usb1="E9DFFFFF" w:usb2="0000003F" w:usb3="00000000" w:csb0="003F01F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1" w:usb1="080E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1338F" w14:textId="77777777" w:rsidR="006C53E4" w:rsidRDefault="006C53E4">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42</w:t>
    </w:r>
    <w:r>
      <w:rPr>
        <w:rStyle w:val="af"/>
      </w:rPr>
      <w:fldChar w:fldCharType="end"/>
    </w:r>
  </w:p>
  <w:p w14:paraId="5813DE86" w14:textId="77777777" w:rsidR="006C53E4" w:rsidRDefault="006C53E4">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1432C" w14:textId="3D138FA3" w:rsidR="006C53E4" w:rsidRDefault="006C53E4">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5E2BB4">
      <w:rPr>
        <w:rStyle w:val="af"/>
        <w:noProof/>
      </w:rPr>
      <w:t>2</w:t>
    </w:r>
    <w:r>
      <w:rPr>
        <w:rStyle w:val="af"/>
      </w:rPr>
      <w:fldChar w:fldCharType="end"/>
    </w:r>
  </w:p>
  <w:p w14:paraId="0BAACE4C" w14:textId="77777777" w:rsidR="006C53E4" w:rsidRDefault="006C53E4">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0A8F7" w14:textId="77777777" w:rsidR="006C53E4" w:rsidRDefault="006C53E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E5484" w14:textId="77777777" w:rsidR="00D50231" w:rsidRDefault="00D50231">
      <w:r>
        <w:separator/>
      </w:r>
    </w:p>
  </w:footnote>
  <w:footnote w:type="continuationSeparator" w:id="0">
    <w:p w14:paraId="6375C57A" w14:textId="77777777" w:rsidR="00D50231" w:rsidRDefault="00D50231">
      <w:r>
        <w:continuationSeparator/>
      </w:r>
    </w:p>
  </w:footnote>
  <w:footnote w:type="continuationNotice" w:id="1">
    <w:p w14:paraId="1A98EF16" w14:textId="77777777" w:rsidR="00D50231" w:rsidRDefault="00D5023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79C9E" w14:textId="77777777" w:rsidR="00092823" w:rsidRDefault="00092823">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E25D6" w14:textId="1331A14E" w:rsidR="006C53E4" w:rsidRDefault="006C53E4">
    <w:pPr>
      <w:pStyle w:val="aa"/>
      <w:jc w:val="right"/>
    </w:pPr>
    <w:r>
      <w:rPr>
        <w:rFonts w:hint="eastAsia"/>
      </w:rPr>
      <w:t>托管协议</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C7D25" w14:textId="4DD6F36B" w:rsidR="006C53E4" w:rsidRDefault="006C53E4">
    <w:pPr>
      <w:pStyle w:val="aa"/>
      <w:jc w:val="right"/>
    </w:pPr>
    <w:r>
      <w:rPr>
        <w:rFonts w:hint="eastAsia"/>
      </w:rPr>
      <w:t>托管协议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37F"/>
    <w:rsid w:val="000024F9"/>
    <w:rsid w:val="00025EBB"/>
    <w:rsid w:val="000303E0"/>
    <w:rsid w:val="00032CD8"/>
    <w:rsid w:val="00033697"/>
    <w:rsid w:val="00040F5C"/>
    <w:rsid w:val="00043538"/>
    <w:rsid w:val="00043771"/>
    <w:rsid w:val="00052DD1"/>
    <w:rsid w:val="00055B8E"/>
    <w:rsid w:val="00064D22"/>
    <w:rsid w:val="000662BB"/>
    <w:rsid w:val="000734C2"/>
    <w:rsid w:val="00081A34"/>
    <w:rsid w:val="00082239"/>
    <w:rsid w:val="000836E4"/>
    <w:rsid w:val="000841AB"/>
    <w:rsid w:val="00085734"/>
    <w:rsid w:val="0009125B"/>
    <w:rsid w:val="00092823"/>
    <w:rsid w:val="00092B02"/>
    <w:rsid w:val="00092D0E"/>
    <w:rsid w:val="00095C35"/>
    <w:rsid w:val="000A0BA6"/>
    <w:rsid w:val="000A0DC9"/>
    <w:rsid w:val="000A43AD"/>
    <w:rsid w:val="000A5C1E"/>
    <w:rsid w:val="000A6320"/>
    <w:rsid w:val="000A6C25"/>
    <w:rsid w:val="000A7B1C"/>
    <w:rsid w:val="000B2CE6"/>
    <w:rsid w:val="000B6015"/>
    <w:rsid w:val="000B6BF5"/>
    <w:rsid w:val="000C0991"/>
    <w:rsid w:val="000C1DB4"/>
    <w:rsid w:val="000C49CA"/>
    <w:rsid w:val="000C5E11"/>
    <w:rsid w:val="000D4B45"/>
    <w:rsid w:val="000E66F0"/>
    <w:rsid w:val="000E679D"/>
    <w:rsid w:val="000E6C5D"/>
    <w:rsid w:val="000F0982"/>
    <w:rsid w:val="000F5ED3"/>
    <w:rsid w:val="00100B98"/>
    <w:rsid w:val="0010767C"/>
    <w:rsid w:val="001115B3"/>
    <w:rsid w:val="001125C9"/>
    <w:rsid w:val="00132C6D"/>
    <w:rsid w:val="00135594"/>
    <w:rsid w:val="0014099C"/>
    <w:rsid w:val="0014202A"/>
    <w:rsid w:val="0015074B"/>
    <w:rsid w:val="00181807"/>
    <w:rsid w:val="00184EA2"/>
    <w:rsid w:val="0018537F"/>
    <w:rsid w:val="001940A0"/>
    <w:rsid w:val="00197230"/>
    <w:rsid w:val="001A3B29"/>
    <w:rsid w:val="001A49E4"/>
    <w:rsid w:val="001A61E5"/>
    <w:rsid w:val="001A7972"/>
    <w:rsid w:val="001C05A5"/>
    <w:rsid w:val="001C4EBE"/>
    <w:rsid w:val="001C6CA6"/>
    <w:rsid w:val="001C7D61"/>
    <w:rsid w:val="001D76FC"/>
    <w:rsid w:val="001F0793"/>
    <w:rsid w:val="001F1F49"/>
    <w:rsid w:val="001F61C4"/>
    <w:rsid w:val="002003A2"/>
    <w:rsid w:val="002034B0"/>
    <w:rsid w:val="00212970"/>
    <w:rsid w:val="0021532C"/>
    <w:rsid w:val="002173F8"/>
    <w:rsid w:val="00220A25"/>
    <w:rsid w:val="00227208"/>
    <w:rsid w:val="00230FA1"/>
    <w:rsid w:val="00232A1C"/>
    <w:rsid w:val="0023449A"/>
    <w:rsid w:val="002358C1"/>
    <w:rsid w:val="0023683E"/>
    <w:rsid w:val="002437C0"/>
    <w:rsid w:val="00251A06"/>
    <w:rsid w:val="002641D1"/>
    <w:rsid w:val="002675F3"/>
    <w:rsid w:val="002733AC"/>
    <w:rsid w:val="00273960"/>
    <w:rsid w:val="00274EA9"/>
    <w:rsid w:val="0028148E"/>
    <w:rsid w:val="002825A4"/>
    <w:rsid w:val="0028293D"/>
    <w:rsid w:val="0029641F"/>
    <w:rsid w:val="002A0A0C"/>
    <w:rsid w:val="002A14E2"/>
    <w:rsid w:val="002A68C7"/>
    <w:rsid w:val="002B1089"/>
    <w:rsid w:val="002B4247"/>
    <w:rsid w:val="002B5BE9"/>
    <w:rsid w:val="002C0D68"/>
    <w:rsid w:val="002C49A9"/>
    <w:rsid w:val="002D37A3"/>
    <w:rsid w:val="002D5DBF"/>
    <w:rsid w:val="002D622B"/>
    <w:rsid w:val="002D640A"/>
    <w:rsid w:val="002F5953"/>
    <w:rsid w:val="00303FBE"/>
    <w:rsid w:val="00307D3E"/>
    <w:rsid w:val="00310507"/>
    <w:rsid w:val="00312D29"/>
    <w:rsid w:val="003164E9"/>
    <w:rsid w:val="00320784"/>
    <w:rsid w:val="00325859"/>
    <w:rsid w:val="003405AD"/>
    <w:rsid w:val="00353BD1"/>
    <w:rsid w:val="00361048"/>
    <w:rsid w:val="003611B9"/>
    <w:rsid w:val="003626E4"/>
    <w:rsid w:val="00363BA7"/>
    <w:rsid w:val="0037368E"/>
    <w:rsid w:val="003751D1"/>
    <w:rsid w:val="00375910"/>
    <w:rsid w:val="00383FBF"/>
    <w:rsid w:val="0039110D"/>
    <w:rsid w:val="003946DD"/>
    <w:rsid w:val="003A0C55"/>
    <w:rsid w:val="003A4EEC"/>
    <w:rsid w:val="003B1C14"/>
    <w:rsid w:val="003B46F9"/>
    <w:rsid w:val="003B7E82"/>
    <w:rsid w:val="003D04DC"/>
    <w:rsid w:val="003D0AA9"/>
    <w:rsid w:val="003D2A48"/>
    <w:rsid w:val="003E1E8E"/>
    <w:rsid w:val="003F0D6B"/>
    <w:rsid w:val="003F693D"/>
    <w:rsid w:val="00401831"/>
    <w:rsid w:val="004045F9"/>
    <w:rsid w:val="004070BF"/>
    <w:rsid w:val="004103A2"/>
    <w:rsid w:val="00411F16"/>
    <w:rsid w:val="00412734"/>
    <w:rsid w:val="00414E28"/>
    <w:rsid w:val="00415F65"/>
    <w:rsid w:val="0042115F"/>
    <w:rsid w:val="00423327"/>
    <w:rsid w:val="00433C78"/>
    <w:rsid w:val="0043423D"/>
    <w:rsid w:val="004404ED"/>
    <w:rsid w:val="00450BD6"/>
    <w:rsid w:val="00450C4F"/>
    <w:rsid w:val="004569BE"/>
    <w:rsid w:val="004606C9"/>
    <w:rsid w:val="00465034"/>
    <w:rsid w:val="0046683C"/>
    <w:rsid w:val="004675E8"/>
    <w:rsid w:val="00470D80"/>
    <w:rsid w:val="00472D5F"/>
    <w:rsid w:val="0047762F"/>
    <w:rsid w:val="004820FE"/>
    <w:rsid w:val="00496B2D"/>
    <w:rsid w:val="004A1E71"/>
    <w:rsid w:val="004A2465"/>
    <w:rsid w:val="004A6368"/>
    <w:rsid w:val="004B3796"/>
    <w:rsid w:val="004C1330"/>
    <w:rsid w:val="004C19B4"/>
    <w:rsid w:val="004C1CF8"/>
    <w:rsid w:val="004D20B1"/>
    <w:rsid w:val="004D576D"/>
    <w:rsid w:val="004E101D"/>
    <w:rsid w:val="004E25EB"/>
    <w:rsid w:val="004E52EF"/>
    <w:rsid w:val="004E6F8A"/>
    <w:rsid w:val="004F00FC"/>
    <w:rsid w:val="004F573E"/>
    <w:rsid w:val="0050027A"/>
    <w:rsid w:val="00501CF4"/>
    <w:rsid w:val="00504CFE"/>
    <w:rsid w:val="005050A3"/>
    <w:rsid w:val="005050BE"/>
    <w:rsid w:val="0050594B"/>
    <w:rsid w:val="00510EBA"/>
    <w:rsid w:val="00513DBB"/>
    <w:rsid w:val="00532E2A"/>
    <w:rsid w:val="00542BD6"/>
    <w:rsid w:val="0054440A"/>
    <w:rsid w:val="005500B0"/>
    <w:rsid w:val="00550CB1"/>
    <w:rsid w:val="00551CB9"/>
    <w:rsid w:val="005540E2"/>
    <w:rsid w:val="00555A88"/>
    <w:rsid w:val="00577398"/>
    <w:rsid w:val="00580061"/>
    <w:rsid w:val="00587EF7"/>
    <w:rsid w:val="00591BAD"/>
    <w:rsid w:val="00591D00"/>
    <w:rsid w:val="00591EB4"/>
    <w:rsid w:val="00593605"/>
    <w:rsid w:val="0059405A"/>
    <w:rsid w:val="005A2446"/>
    <w:rsid w:val="005B7AA2"/>
    <w:rsid w:val="005C606F"/>
    <w:rsid w:val="005D129B"/>
    <w:rsid w:val="005D1CF0"/>
    <w:rsid w:val="005D2018"/>
    <w:rsid w:val="005D50A8"/>
    <w:rsid w:val="005D6A9F"/>
    <w:rsid w:val="005D71F6"/>
    <w:rsid w:val="005E17DA"/>
    <w:rsid w:val="005E2BB4"/>
    <w:rsid w:val="005E33FE"/>
    <w:rsid w:val="005E654C"/>
    <w:rsid w:val="005E7D65"/>
    <w:rsid w:val="005F1CE9"/>
    <w:rsid w:val="005F3147"/>
    <w:rsid w:val="005F3A20"/>
    <w:rsid w:val="005F4C60"/>
    <w:rsid w:val="0060300C"/>
    <w:rsid w:val="006126F0"/>
    <w:rsid w:val="00614F24"/>
    <w:rsid w:val="00616CEF"/>
    <w:rsid w:val="0062027C"/>
    <w:rsid w:val="006246F3"/>
    <w:rsid w:val="00626EC3"/>
    <w:rsid w:val="00634F7C"/>
    <w:rsid w:val="0063571B"/>
    <w:rsid w:val="006358B1"/>
    <w:rsid w:val="006414B2"/>
    <w:rsid w:val="00642A8A"/>
    <w:rsid w:val="006444C7"/>
    <w:rsid w:val="00645894"/>
    <w:rsid w:val="00645DC7"/>
    <w:rsid w:val="0064709B"/>
    <w:rsid w:val="00647435"/>
    <w:rsid w:val="00654841"/>
    <w:rsid w:val="0065627F"/>
    <w:rsid w:val="006567C9"/>
    <w:rsid w:val="0066056F"/>
    <w:rsid w:val="00661CA3"/>
    <w:rsid w:val="006753D7"/>
    <w:rsid w:val="00676E2E"/>
    <w:rsid w:val="0068629F"/>
    <w:rsid w:val="00687CD1"/>
    <w:rsid w:val="00691732"/>
    <w:rsid w:val="006A5F59"/>
    <w:rsid w:val="006B13D5"/>
    <w:rsid w:val="006B4273"/>
    <w:rsid w:val="006B5C7C"/>
    <w:rsid w:val="006C3354"/>
    <w:rsid w:val="006C53E4"/>
    <w:rsid w:val="006C5CF6"/>
    <w:rsid w:val="006D0749"/>
    <w:rsid w:val="006D0EA5"/>
    <w:rsid w:val="006D4447"/>
    <w:rsid w:val="006E5EFC"/>
    <w:rsid w:val="006E6C04"/>
    <w:rsid w:val="006E7C25"/>
    <w:rsid w:val="006F3157"/>
    <w:rsid w:val="006F779C"/>
    <w:rsid w:val="00703887"/>
    <w:rsid w:val="00707279"/>
    <w:rsid w:val="00710218"/>
    <w:rsid w:val="0072261C"/>
    <w:rsid w:val="00726310"/>
    <w:rsid w:val="00731FF7"/>
    <w:rsid w:val="00734FDC"/>
    <w:rsid w:val="0073607B"/>
    <w:rsid w:val="0074065C"/>
    <w:rsid w:val="00743F23"/>
    <w:rsid w:val="0075591A"/>
    <w:rsid w:val="00755C13"/>
    <w:rsid w:val="00761D51"/>
    <w:rsid w:val="00765ED3"/>
    <w:rsid w:val="007667E8"/>
    <w:rsid w:val="007721C3"/>
    <w:rsid w:val="00774793"/>
    <w:rsid w:val="007748AD"/>
    <w:rsid w:val="00775F3A"/>
    <w:rsid w:val="0078544F"/>
    <w:rsid w:val="00787B9A"/>
    <w:rsid w:val="00790D2C"/>
    <w:rsid w:val="00795194"/>
    <w:rsid w:val="00796D6A"/>
    <w:rsid w:val="007A08D0"/>
    <w:rsid w:val="007A5C83"/>
    <w:rsid w:val="007B1479"/>
    <w:rsid w:val="007C268E"/>
    <w:rsid w:val="007D6157"/>
    <w:rsid w:val="007E23D0"/>
    <w:rsid w:val="007F3D68"/>
    <w:rsid w:val="007F619B"/>
    <w:rsid w:val="007F62F9"/>
    <w:rsid w:val="00802B04"/>
    <w:rsid w:val="008036C9"/>
    <w:rsid w:val="0080732A"/>
    <w:rsid w:val="008121F7"/>
    <w:rsid w:val="00814A7F"/>
    <w:rsid w:val="008161F4"/>
    <w:rsid w:val="00816B6A"/>
    <w:rsid w:val="00820193"/>
    <w:rsid w:val="00820591"/>
    <w:rsid w:val="008236A5"/>
    <w:rsid w:val="0083046C"/>
    <w:rsid w:val="008346A1"/>
    <w:rsid w:val="008350E5"/>
    <w:rsid w:val="00837402"/>
    <w:rsid w:val="0084246F"/>
    <w:rsid w:val="00845312"/>
    <w:rsid w:val="0084553F"/>
    <w:rsid w:val="0084614A"/>
    <w:rsid w:val="00847DD3"/>
    <w:rsid w:val="00850426"/>
    <w:rsid w:val="00852205"/>
    <w:rsid w:val="00853C57"/>
    <w:rsid w:val="008547B4"/>
    <w:rsid w:val="0085689A"/>
    <w:rsid w:val="00862382"/>
    <w:rsid w:val="008675B8"/>
    <w:rsid w:val="00871162"/>
    <w:rsid w:val="0087125E"/>
    <w:rsid w:val="00872089"/>
    <w:rsid w:val="00875BA4"/>
    <w:rsid w:val="008830A6"/>
    <w:rsid w:val="008A1CEC"/>
    <w:rsid w:val="008B112F"/>
    <w:rsid w:val="008C0954"/>
    <w:rsid w:val="008C0AC9"/>
    <w:rsid w:val="008C288B"/>
    <w:rsid w:val="008C53D3"/>
    <w:rsid w:val="008C7FD0"/>
    <w:rsid w:val="008E0BAD"/>
    <w:rsid w:val="008E2099"/>
    <w:rsid w:val="008F08D7"/>
    <w:rsid w:val="008F23A8"/>
    <w:rsid w:val="0090389A"/>
    <w:rsid w:val="00906B21"/>
    <w:rsid w:val="00912F8C"/>
    <w:rsid w:val="0091304D"/>
    <w:rsid w:val="00913C74"/>
    <w:rsid w:val="009157E0"/>
    <w:rsid w:val="0091596D"/>
    <w:rsid w:val="009204E9"/>
    <w:rsid w:val="00927782"/>
    <w:rsid w:val="00934AF7"/>
    <w:rsid w:val="00935217"/>
    <w:rsid w:val="0093578F"/>
    <w:rsid w:val="00940507"/>
    <w:rsid w:val="009428F5"/>
    <w:rsid w:val="00953FA5"/>
    <w:rsid w:val="009614FA"/>
    <w:rsid w:val="00961F8E"/>
    <w:rsid w:val="00962B7C"/>
    <w:rsid w:val="0097355E"/>
    <w:rsid w:val="00976406"/>
    <w:rsid w:val="009768C4"/>
    <w:rsid w:val="00981311"/>
    <w:rsid w:val="00984D18"/>
    <w:rsid w:val="00984EF1"/>
    <w:rsid w:val="00991CCD"/>
    <w:rsid w:val="009A0D80"/>
    <w:rsid w:val="009A47DD"/>
    <w:rsid w:val="009A607B"/>
    <w:rsid w:val="009B16A7"/>
    <w:rsid w:val="009C1116"/>
    <w:rsid w:val="009C12A1"/>
    <w:rsid w:val="009C6E25"/>
    <w:rsid w:val="009C797C"/>
    <w:rsid w:val="009D1ECE"/>
    <w:rsid w:val="009D60E2"/>
    <w:rsid w:val="009D76C4"/>
    <w:rsid w:val="009E2CC7"/>
    <w:rsid w:val="009E3C07"/>
    <w:rsid w:val="009E4A32"/>
    <w:rsid w:val="009F0186"/>
    <w:rsid w:val="009F2F01"/>
    <w:rsid w:val="009F3179"/>
    <w:rsid w:val="009F384A"/>
    <w:rsid w:val="009F59DC"/>
    <w:rsid w:val="00A018D7"/>
    <w:rsid w:val="00A02B86"/>
    <w:rsid w:val="00A123EA"/>
    <w:rsid w:val="00A15A53"/>
    <w:rsid w:val="00A177E3"/>
    <w:rsid w:val="00A21157"/>
    <w:rsid w:val="00A2272D"/>
    <w:rsid w:val="00A248AF"/>
    <w:rsid w:val="00A24D34"/>
    <w:rsid w:val="00A24F7D"/>
    <w:rsid w:val="00A252B9"/>
    <w:rsid w:val="00A262F2"/>
    <w:rsid w:val="00A32818"/>
    <w:rsid w:val="00A36003"/>
    <w:rsid w:val="00A44E96"/>
    <w:rsid w:val="00A510C1"/>
    <w:rsid w:val="00A5390A"/>
    <w:rsid w:val="00A6029A"/>
    <w:rsid w:val="00A606FD"/>
    <w:rsid w:val="00A72217"/>
    <w:rsid w:val="00A7255A"/>
    <w:rsid w:val="00A74063"/>
    <w:rsid w:val="00A74228"/>
    <w:rsid w:val="00A823B3"/>
    <w:rsid w:val="00A82D35"/>
    <w:rsid w:val="00A83C38"/>
    <w:rsid w:val="00A843F4"/>
    <w:rsid w:val="00A8441F"/>
    <w:rsid w:val="00A875F7"/>
    <w:rsid w:val="00A9216D"/>
    <w:rsid w:val="00A92224"/>
    <w:rsid w:val="00A936A1"/>
    <w:rsid w:val="00A965E8"/>
    <w:rsid w:val="00A976C3"/>
    <w:rsid w:val="00AA4F9E"/>
    <w:rsid w:val="00AB1BE8"/>
    <w:rsid w:val="00AB22F2"/>
    <w:rsid w:val="00AB23A9"/>
    <w:rsid w:val="00AB29B7"/>
    <w:rsid w:val="00AC2F84"/>
    <w:rsid w:val="00AD1C13"/>
    <w:rsid w:val="00AD21CA"/>
    <w:rsid w:val="00AD69E8"/>
    <w:rsid w:val="00AF1A48"/>
    <w:rsid w:val="00AF30A3"/>
    <w:rsid w:val="00AF3F5A"/>
    <w:rsid w:val="00AF40D0"/>
    <w:rsid w:val="00AF56E4"/>
    <w:rsid w:val="00AF6F46"/>
    <w:rsid w:val="00B069F6"/>
    <w:rsid w:val="00B14F0A"/>
    <w:rsid w:val="00B23F38"/>
    <w:rsid w:val="00B2400F"/>
    <w:rsid w:val="00B24F00"/>
    <w:rsid w:val="00B34E98"/>
    <w:rsid w:val="00B34FD6"/>
    <w:rsid w:val="00B35225"/>
    <w:rsid w:val="00B420FA"/>
    <w:rsid w:val="00B51686"/>
    <w:rsid w:val="00B52A7B"/>
    <w:rsid w:val="00B53BDB"/>
    <w:rsid w:val="00B629DF"/>
    <w:rsid w:val="00B649FE"/>
    <w:rsid w:val="00B747BD"/>
    <w:rsid w:val="00B778DE"/>
    <w:rsid w:val="00B77E96"/>
    <w:rsid w:val="00B8225A"/>
    <w:rsid w:val="00B84672"/>
    <w:rsid w:val="00B876E3"/>
    <w:rsid w:val="00B87F7E"/>
    <w:rsid w:val="00B9408B"/>
    <w:rsid w:val="00BA07AD"/>
    <w:rsid w:val="00BA1396"/>
    <w:rsid w:val="00BA24F2"/>
    <w:rsid w:val="00BA27AF"/>
    <w:rsid w:val="00BA5CF1"/>
    <w:rsid w:val="00BA6047"/>
    <w:rsid w:val="00BA67A8"/>
    <w:rsid w:val="00BB1209"/>
    <w:rsid w:val="00BC3EF8"/>
    <w:rsid w:val="00BC408F"/>
    <w:rsid w:val="00BC43DE"/>
    <w:rsid w:val="00BD039F"/>
    <w:rsid w:val="00BD11C6"/>
    <w:rsid w:val="00BD1268"/>
    <w:rsid w:val="00BD210D"/>
    <w:rsid w:val="00BD587D"/>
    <w:rsid w:val="00BD6BC7"/>
    <w:rsid w:val="00BD734F"/>
    <w:rsid w:val="00BD7DF4"/>
    <w:rsid w:val="00BE3E42"/>
    <w:rsid w:val="00BE5076"/>
    <w:rsid w:val="00BF0ADF"/>
    <w:rsid w:val="00BF1608"/>
    <w:rsid w:val="00BF19F8"/>
    <w:rsid w:val="00BF7A74"/>
    <w:rsid w:val="00C11B14"/>
    <w:rsid w:val="00C11CA5"/>
    <w:rsid w:val="00C127A4"/>
    <w:rsid w:val="00C166BF"/>
    <w:rsid w:val="00C16971"/>
    <w:rsid w:val="00C17AAF"/>
    <w:rsid w:val="00C25C70"/>
    <w:rsid w:val="00C31647"/>
    <w:rsid w:val="00C3597D"/>
    <w:rsid w:val="00C46C1A"/>
    <w:rsid w:val="00C5268F"/>
    <w:rsid w:val="00C52A99"/>
    <w:rsid w:val="00C52B29"/>
    <w:rsid w:val="00C56EEA"/>
    <w:rsid w:val="00C6220C"/>
    <w:rsid w:val="00C63E51"/>
    <w:rsid w:val="00C73F74"/>
    <w:rsid w:val="00C80365"/>
    <w:rsid w:val="00C803D7"/>
    <w:rsid w:val="00C8343C"/>
    <w:rsid w:val="00C8374D"/>
    <w:rsid w:val="00C85000"/>
    <w:rsid w:val="00C85A4E"/>
    <w:rsid w:val="00C86A79"/>
    <w:rsid w:val="00C8703E"/>
    <w:rsid w:val="00C90423"/>
    <w:rsid w:val="00C914E3"/>
    <w:rsid w:val="00C92E3C"/>
    <w:rsid w:val="00C96E5B"/>
    <w:rsid w:val="00CC046F"/>
    <w:rsid w:val="00CC3980"/>
    <w:rsid w:val="00CC471E"/>
    <w:rsid w:val="00CC4D9B"/>
    <w:rsid w:val="00CD516C"/>
    <w:rsid w:val="00CD6844"/>
    <w:rsid w:val="00CD75A2"/>
    <w:rsid w:val="00CE1EC6"/>
    <w:rsid w:val="00CF105C"/>
    <w:rsid w:val="00CF6ACE"/>
    <w:rsid w:val="00D00251"/>
    <w:rsid w:val="00D068F3"/>
    <w:rsid w:val="00D06C7F"/>
    <w:rsid w:val="00D113D5"/>
    <w:rsid w:val="00D1676A"/>
    <w:rsid w:val="00D24517"/>
    <w:rsid w:val="00D25BFB"/>
    <w:rsid w:val="00D275A1"/>
    <w:rsid w:val="00D30AF7"/>
    <w:rsid w:val="00D318C1"/>
    <w:rsid w:val="00D33B26"/>
    <w:rsid w:val="00D33B2F"/>
    <w:rsid w:val="00D37EB8"/>
    <w:rsid w:val="00D50231"/>
    <w:rsid w:val="00D53A68"/>
    <w:rsid w:val="00D5406C"/>
    <w:rsid w:val="00D561E3"/>
    <w:rsid w:val="00D64C37"/>
    <w:rsid w:val="00D654BA"/>
    <w:rsid w:val="00D65C0B"/>
    <w:rsid w:val="00D72D2F"/>
    <w:rsid w:val="00D75D94"/>
    <w:rsid w:val="00D80A55"/>
    <w:rsid w:val="00D83EAA"/>
    <w:rsid w:val="00D84672"/>
    <w:rsid w:val="00D86008"/>
    <w:rsid w:val="00D87A49"/>
    <w:rsid w:val="00D91570"/>
    <w:rsid w:val="00D92327"/>
    <w:rsid w:val="00D92AF5"/>
    <w:rsid w:val="00D94781"/>
    <w:rsid w:val="00D976A5"/>
    <w:rsid w:val="00D97B38"/>
    <w:rsid w:val="00DA05A2"/>
    <w:rsid w:val="00DA0D37"/>
    <w:rsid w:val="00DA356F"/>
    <w:rsid w:val="00DA48BB"/>
    <w:rsid w:val="00DB1C9C"/>
    <w:rsid w:val="00DB37BB"/>
    <w:rsid w:val="00DB5018"/>
    <w:rsid w:val="00DC34F5"/>
    <w:rsid w:val="00DC3B6B"/>
    <w:rsid w:val="00DC512F"/>
    <w:rsid w:val="00DC73CA"/>
    <w:rsid w:val="00DD4E54"/>
    <w:rsid w:val="00DD6CE1"/>
    <w:rsid w:val="00DE0E6F"/>
    <w:rsid w:val="00DF1B07"/>
    <w:rsid w:val="00DF1E9B"/>
    <w:rsid w:val="00DF2E52"/>
    <w:rsid w:val="00DF3A43"/>
    <w:rsid w:val="00DF68BF"/>
    <w:rsid w:val="00E01051"/>
    <w:rsid w:val="00E05168"/>
    <w:rsid w:val="00E05376"/>
    <w:rsid w:val="00E05F79"/>
    <w:rsid w:val="00E0758B"/>
    <w:rsid w:val="00E10C87"/>
    <w:rsid w:val="00E12A7F"/>
    <w:rsid w:val="00E17A63"/>
    <w:rsid w:val="00E17D3C"/>
    <w:rsid w:val="00E26940"/>
    <w:rsid w:val="00E2728F"/>
    <w:rsid w:val="00E32BE8"/>
    <w:rsid w:val="00E356F6"/>
    <w:rsid w:val="00E504E2"/>
    <w:rsid w:val="00E50B4E"/>
    <w:rsid w:val="00E50F8F"/>
    <w:rsid w:val="00E538B1"/>
    <w:rsid w:val="00E53946"/>
    <w:rsid w:val="00E54677"/>
    <w:rsid w:val="00E547E1"/>
    <w:rsid w:val="00E66576"/>
    <w:rsid w:val="00E666EC"/>
    <w:rsid w:val="00E74135"/>
    <w:rsid w:val="00E7748F"/>
    <w:rsid w:val="00E84EA6"/>
    <w:rsid w:val="00E87F4A"/>
    <w:rsid w:val="00E937EB"/>
    <w:rsid w:val="00EA159F"/>
    <w:rsid w:val="00EA2E84"/>
    <w:rsid w:val="00EA3141"/>
    <w:rsid w:val="00EA3C6C"/>
    <w:rsid w:val="00EA6276"/>
    <w:rsid w:val="00EA773B"/>
    <w:rsid w:val="00EB4102"/>
    <w:rsid w:val="00EB5593"/>
    <w:rsid w:val="00EC1FA8"/>
    <w:rsid w:val="00EC2B4D"/>
    <w:rsid w:val="00EC2E22"/>
    <w:rsid w:val="00EC5CDF"/>
    <w:rsid w:val="00ED5708"/>
    <w:rsid w:val="00ED6657"/>
    <w:rsid w:val="00EE0831"/>
    <w:rsid w:val="00EE2755"/>
    <w:rsid w:val="00EE2BE5"/>
    <w:rsid w:val="00EE45E9"/>
    <w:rsid w:val="00EF043F"/>
    <w:rsid w:val="00EF5CF7"/>
    <w:rsid w:val="00F05FEA"/>
    <w:rsid w:val="00F078D6"/>
    <w:rsid w:val="00F11323"/>
    <w:rsid w:val="00F1170D"/>
    <w:rsid w:val="00F139E0"/>
    <w:rsid w:val="00F14CCF"/>
    <w:rsid w:val="00F1565E"/>
    <w:rsid w:val="00F2367B"/>
    <w:rsid w:val="00F24B1A"/>
    <w:rsid w:val="00F31816"/>
    <w:rsid w:val="00F3265F"/>
    <w:rsid w:val="00F326EC"/>
    <w:rsid w:val="00F32B77"/>
    <w:rsid w:val="00F365A0"/>
    <w:rsid w:val="00F422C5"/>
    <w:rsid w:val="00F44A5D"/>
    <w:rsid w:val="00F45029"/>
    <w:rsid w:val="00F46567"/>
    <w:rsid w:val="00F50ADC"/>
    <w:rsid w:val="00F5410E"/>
    <w:rsid w:val="00F57934"/>
    <w:rsid w:val="00F57A45"/>
    <w:rsid w:val="00F61431"/>
    <w:rsid w:val="00F61D4D"/>
    <w:rsid w:val="00F623C9"/>
    <w:rsid w:val="00F64236"/>
    <w:rsid w:val="00F65041"/>
    <w:rsid w:val="00F74812"/>
    <w:rsid w:val="00F74D8D"/>
    <w:rsid w:val="00F83873"/>
    <w:rsid w:val="00F838E9"/>
    <w:rsid w:val="00F85C9E"/>
    <w:rsid w:val="00F86473"/>
    <w:rsid w:val="00F8744B"/>
    <w:rsid w:val="00F9375D"/>
    <w:rsid w:val="00F94D1D"/>
    <w:rsid w:val="00F95D93"/>
    <w:rsid w:val="00FA1D61"/>
    <w:rsid w:val="00FA61FA"/>
    <w:rsid w:val="00FB2B2E"/>
    <w:rsid w:val="00FB32B5"/>
    <w:rsid w:val="00FB379E"/>
    <w:rsid w:val="00FB54E5"/>
    <w:rsid w:val="00FB5D70"/>
    <w:rsid w:val="00FC47DF"/>
    <w:rsid w:val="00FC54E9"/>
    <w:rsid w:val="00FC6F68"/>
    <w:rsid w:val="00FC71A4"/>
    <w:rsid w:val="00FC7518"/>
    <w:rsid w:val="00FC7578"/>
    <w:rsid w:val="00FD049E"/>
    <w:rsid w:val="00FD05C9"/>
    <w:rsid w:val="00FD2AFE"/>
    <w:rsid w:val="00FD3720"/>
    <w:rsid w:val="00FD492F"/>
    <w:rsid w:val="00FE0488"/>
    <w:rsid w:val="00FE439A"/>
    <w:rsid w:val="00FF238E"/>
    <w:rsid w:val="00FF4309"/>
    <w:rsid w:val="00FF4568"/>
    <w:rsid w:val="00FF6DF9"/>
    <w:rsid w:val="057F13E1"/>
    <w:rsid w:val="24806EE4"/>
    <w:rsid w:val="24BC32DA"/>
    <w:rsid w:val="2C3A210E"/>
    <w:rsid w:val="2CBB231A"/>
    <w:rsid w:val="3A830B88"/>
    <w:rsid w:val="3E8B5867"/>
    <w:rsid w:val="53E605A8"/>
    <w:rsid w:val="54FA013D"/>
    <w:rsid w:val="5A372751"/>
    <w:rsid w:val="67F437B3"/>
    <w:rsid w:val="73307147"/>
    <w:rsid w:val="79AD29A2"/>
    <w:rsid w:val="7A3B6E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5111CE"/>
  <w15:docId w15:val="{87A398DA-3C95-49B5-99DF-A9C69A938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uiPriority="0" w:unhideWhenUsed="1" w:qFormat="1"/>
    <w:lsdException w:name="footnote text" w:semiHidden="1" w:unhideWhenUsed="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unhideWhenUsed="1" w:qFormat="1"/>
    <w:lsdException w:name="Block Text" w:semiHidden="1" w:unhideWhenUsed="1"/>
    <w:lsdException w:name="Hyperlink" w:uiPriority="0" w:unhideWhenUsed="1" w:qFormat="1"/>
    <w:lsdException w:name="FollowedHyperlink"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paragraph" w:styleId="2">
    <w:name w:val="heading 2"/>
    <w:basedOn w:val="a"/>
    <w:next w:val="a0"/>
    <w:link w:val="21"/>
    <w:qFormat/>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7">
    <w:name w:val="toc 7"/>
    <w:basedOn w:val="a"/>
    <w:next w:val="a"/>
    <w:semiHidden/>
    <w:qFormat/>
    <w:pPr>
      <w:ind w:leftChars="1200" w:left="2520"/>
    </w:pPr>
  </w:style>
  <w:style w:type="paragraph" w:styleId="a4">
    <w:name w:val="annotation text"/>
    <w:basedOn w:val="a"/>
    <w:link w:val="20"/>
    <w:qFormat/>
    <w:pPr>
      <w:jc w:val="left"/>
    </w:pPr>
  </w:style>
  <w:style w:type="paragraph" w:styleId="a5">
    <w:name w:val="Body Text"/>
    <w:basedOn w:val="a"/>
    <w:link w:val="1"/>
    <w:qFormat/>
    <w:pPr>
      <w:spacing w:line="360" w:lineRule="auto"/>
    </w:pPr>
    <w:rPr>
      <w:rFonts w:ascii="仿宋_GB2312" w:eastAsia="仿宋_GB2312"/>
      <w:color w:val="000000"/>
      <w:kern w:val="0"/>
      <w:sz w:val="24"/>
      <w:szCs w:val="28"/>
    </w:rPr>
  </w:style>
  <w:style w:type="paragraph" w:styleId="a6">
    <w:name w:val="Body Text Indent"/>
    <w:basedOn w:val="a"/>
    <w:link w:val="10"/>
    <w:qFormat/>
    <w:pPr>
      <w:adjustRightInd w:val="0"/>
      <w:snapToGrid w:val="0"/>
      <w:spacing w:line="560" w:lineRule="exact"/>
      <w:ind w:firstLineChars="200" w:firstLine="480"/>
    </w:pPr>
    <w:rPr>
      <w:rFonts w:eastAsia="方正仿宋简体"/>
      <w:sz w:val="24"/>
      <w:szCs w:val="30"/>
    </w:rPr>
  </w:style>
  <w:style w:type="paragraph" w:styleId="5">
    <w:name w:val="toc 5"/>
    <w:basedOn w:val="a"/>
    <w:next w:val="a"/>
    <w:semiHidden/>
    <w:qFormat/>
    <w:pPr>
      <w:ind w:leftChars="800" w:left="1680"/>
    </w:pPr>
  </w:style>
  <w:style w:type="paragraph" w:styleId="3">
    <w:name w:val="toc 3"/>
    <w:basedOn w:val="a"/>
    <w:next w:val="a"/>
    <w:semiHidden/>
    <w:qFormat/>
    <w:pPr>
      <w:ind w:leftChars="400" w:left="840"/>
    </w:pPr>
  </w:style>
  <w:style w:type="paragraph" w:styleId="8">
    <w:name w:val="toc 8"/>
    <w:basedOn w:val="a"/>
    <w:next w:val="a"/>
    <w:semiHidden/>
    <w:qFormat/>
    <w:pPr>
      <w:ind w:leftChars="1400" w:left="2940"/>
    </w:pPr>
  </w:style>
  <w:style w:type="paragraph" w:styleId="22">
    <w:name w:val="Body Text Indent 2"/>
    <w:basedOn w:val="a"/>
    <w:link w:val="210"/>
    <w:qFormat/>
    <w:pPr>
      <w:spacing w:line="360" w:lineRule="auto"/>
      <w:ind w:firstLine="525"/>
    </w:pPr>
    <w:rPr>
      <w:rFonts w:ascii="宋体" w:hAnsi="宋体"/>
      <w:sz w:val="28"/>
      <w:szCs w:val="20"/>
    </w:rPr>
  </w:style>
  <w:style w:type="paragraph" w:styleId="a7">
    <w:name w:val="Balloon Text"/>
    <w:basedOn w:val="a"/>
    <w:link w:val="11"/>
    <w:semiHidden/>
    <w:qFormat/>
    <w:rPr>
      <w:sz w:val="18"/>
      <w:szCs w:val="18"/>
    </w:rPr>
  </w:style>
  <w:style w:type="paragraph" w:styleId="a8">
    <w:name w:val="footer"/>
    <w:basedOn w:val="a"/>
    <w:link w:val="a9"/>
    <w:unhideWhenUsed/>
    <w:qFormat/>
    <w:pPr>
      <w:tabs>
        <w:tab w:val="center" w:pos="4153"/>
        <w:tab w:val="right" w:pos="8306"/>
      </w:tabs>
      <w:snapToGrid w:val="0"/>
      <w:jc w:val="left"/>
    </w:pPr>
    <w:rPr>
      <w:sz w:val="18"/>
      <w:szCs w:val="18"/>
    </w:rPr>
  </w:style>
  <w:style w:type="paragraph" w:styleId="aa">
    <w:name w:val="header"/>
    <w:basedOn w:val="a"/>
    <w:link w:val="ab"/>
    <w:unhideWhenUsed/>
    <w:qFormat/>
    <w:pPr>
      <w:pBdr>
        <w:bottom w:val="single" w:sz="6" w:space="1" w:color="auto"/>
      </w:pBdr>
      <w:tabs>
        <w:tab w:val="center" w:pos="4153"/>
        <w:tab w:val="right" w:pos="8306"/>
      </w:tabs>
      <w:snapToGrid w:val="0"/>
      <w:jc w:val="center"/>
    </w:pPr>
    <w:rPr>
      <w:sz w:val="18"/>
      <w:szCs w:val="18"/>
    </w:rPr>
  </w:style>
  <w:style w:type="paragraph" w:styleId="12">
    <w:name w:val="toc 1"/>
    <w:basedOn w:val="a"/>
    <w:next w:val="a"/>
    <w:semiHidden/>
    <w:qFormat/>
  </w:style>
  <w:style w:type="paragraph" w:styleId="4">
    <w:name w:val="toc 4"/>
    <w:basedOn w:val="a"/>
    <w:next w:val="a"/>
    <w:semiHidden/>
    <w:qFormat/>
    <w:pPr>
      <w:ind w:leftChars="600" w:left="1260"/>
    </w:pPr>
  </w:style>
  <w:style w:type="paragraph" w:styleId="6">
    <w:name w:val="toc 6"/>
    <w:basedOn w:val="a"/>
    <w:next w:val="a"/>
    <w:semiHidden/>
    <w:qFormat/>
    <w:pPr>
      <w:ind w:leftChars="1000" w:left="2100"/>
    </w:pPr>
  </w:style>
  <w:style w:type="paragraph" w:styleId="30">
    <w:name w:val="Body Text Indent 3"/>
    <w:basedOn w:val="a"/>
    <w:link w:val="31"/>
    <w:qFormat/>
    <w:pPr>
      <w:adjustRightInd w:val="0"/>
      <w:snapToGrid w:val="0"/>
      <w:ind w:firstLineChars="200" w:firstLine="480"/>
    </w:pPr>
    <w:rPr>
      <w:rFonts w:ascii="仿宋_GB2312" w:eastAsia="仿宋_GB2312" w:hAnsi="宋体" w:cs="Arial"/>
      <w:color w:val="000000"/>
      <w:sz w:val="24"/>
    </w:rPr>
  </w:style>
  <w:style w:type="paragraph" w:styleId="23">
    <w:name w:val="toc 2"/>
    <w:basedOn w:val="a"/>
    <w:next w:val="a"/>
    <w:semiHidden/>
    <w:qFormat/>
    <w:pPr>
      <w:ind w:leftChars="200" w:left="420"/>
    </w:pPr>
  </w:style>
  <w:style w:type="paragraph" w:styleId="9">
    <w:name w:val="toc 9"/>
    <w:basedOn w:val="a"/>
    <w:next w:val="a"/>
    <w:semiHidden/>
    <w:qFormat/>
    <w:pPr>
      <w:ind w:leftChars="1600" w:left="3360"/>
    </w:pPr>
  </w:style>
  <w:style w:type="paragraph" w:styleId="HTML">
    <w:name w:val="HTML Preformatted"/>
    <w:basedOn w:val="a"/>
    <w:link w:val="HTML1"/>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c">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paragraph" w:styleId="ad">
    <w:name w:val="annotation subject"/>
    <w:basedOn w:val="a4"/>
    <w:next w:val="a4"/>
    <w:link w:val="13"/>
    <w:qFormat/>
    <w:rPr>
      <w:b/>
      <w:bCs/>
    </w:rPr>
  </w:style>
  <w:style w:type="character" w:styleId="ae">
    <w:name w:val="Strong"/>
    <w:qFormat/>
    <w:rPr>
      <w:b/>
      <w:bCs/>
    </w:rPr>
  </w:style>
  <w:style w:type="character" w:styleId="af">
    <w:name w:val="page number"/>
    <w:qFormat/>
  </w:style>
  <w:style w:type="character" w:styleId="af0">
    <w:name w:val="FollowedHyperlink"/>
    <w:uiPriority w:val="99"/>
    <w:unhideWhenUsed/>
    <w:qFormat/>
    <w:rPr>
      <w:color w:val="800080"/>
      <w:u w:val="single"/>
    </w:rPr>
  </w:style>
  <w:style w:type="character" w:styleId="af1">
    <w:name w:val="Hyperlink"/>
    <w:qFormat/>
    <w:rPr>
      <w:color w:val="0000FF"/>
      <w:u w:val="single"/>
    </w:rPr>
  </w:style>
  <w:style w:type="character" w:styleId="af2">
    <w:name w:val="annotation reference"/>
    <w:qFormat/>
    <w:rPr>
      <w:sz w:val="21"/>
      <w:szCs w:val="21"/>
    </w:rPr>
  </w:style>
  <w:style w:type="character" w:customStyle="1" w:styleId="14">
    <w:name w:val="批注文字 字符1"/>
    <w:qFormat/>
    <w:rPr>
      <w:rFonts w:ascii="Times New Roman" w:eastAsia="宋体" w:hAnsi="Times New Roman" w:cs="Times New Roman"/>
      <w:szCs w:val="24"/>
    </w:rPr>
  </w:style>
  <w:style w:type="character" w:customStyle="1" w:styleId="210">
    <w:name w:val="正文文本缩进 2 字符1"/>
    <w:link w:val="22"/>
    <w:qFormat/>
    <w:rPr>
      <w:rFonts w:ascii="宋体" w:eastAsia="宋体" w:hAnsi="宋体" w:cs="Times New Roman"/>
      <w:sz w:val="28"/>
      <w:szCs w:val="20"/>
    </w:rPr>
  </w:style>
  <w:style w:type="character" w:customStyle="1" w:styleId="ab">
    <w:name w:val="页眉 字符"/>
    <w:link w:val="aa"/>
    <w:uiPriority w:val="99"/>
    <w:qFormat/>
    <w:rPr>
      <w:sz w:val="18"/>
      <w:szCs w:val="18"/>
    </w:rPr>
  </w:style>
  <w:style w:type="character" w:customStyle="1" w:styleId="24">
    <w:name w:val="标题 2 字符"/>
    <w:uiPriority w:val="9"/>
    <w:semiHidden/>
    <w:qFormat/>
    <w:rPr>
      <w:rFonts w:ascii="等线 Light" w:eastAsia="等线 Light" w:hAnsi="等线 Light" w:cs="Times New Roman"/>
      <w:b/>
      <w:bCs/>
      <w:sz w:val="32"/>
      <w:szCs w:val="32"/>
    </w:rPr>
  </w:style>
  <w:style w:type="character" w:customStyle="1" w:styleId="32">
    <w:name w:val="正文文本缩进 3 字符"/>
    <w:uiPriority w:val="99"/>
    <w:semiHidden/>
    <w:qFormat/>
    <w:rPr>
      <w:rFonts w:ascii="Times New Roman" w:eastAsia="宋体" w:hAnsi="Times New Roman" w:cs="Times New Roman"/>
      <w:sz w:val="16"/>
      <w:szCs w:val="16"/>
    </w:rPr>
  </w:style>
  <w:style w:type="character" w:customStyle="1" w:styleId="HTML1">
    <w:name w:val="HTML 预设格式 字符1"/>
    <w:link w:val="HTML"/>
    <w:uiPriority w:val="99"/>
    <w:qFormat/>
    <w:rPr>
      <w:rFonts w:ascii="宋体" w:eastAsia="宋体" w:hAnsi="宋体" w:cs="宋体"/>
      <w:kern w:val="0"/>
      <w:sz w:val="24"/>
      <w:szCs w:val="24"/>
    </w:rPr>
  </w:style>
  <w:style w:type="character" w:customStyle="1" w:styleId="20">
    <w:name w:val="批注文字 字符2"/>
    <w:link w:val="a4"/>
    <w:qFormat/>
    <w:rPr>
      <w:rFonts w:ascii="Times New Roman" w:eastAsia="宋体" w:hAnsi="Times New Roman" w:cs="Times New Roman"/>
      <w:szCs w:val="24"/>
    </w:rPr>
  </w:style>
  <w:style w:type="character" w:customStyle="1" w:styleId="af3">
    <w:name w:val="正文文本缩进 字符"/>
    <w:uiPriority w:val="99"/>
    <w:semiHidden/>
    <w:qFormat/>
    <w:rPr>
      <w:rFonts w:ascii="Times New Roman" w:eastAsia="宋体" w:hAnsi="Times New Roman" w:cs="Times New Roman"/>
      <w:szCs w:val="24"/>
    </w:rPr>
  </w:style>
  <w:style w:type="character" w:customStyle="1" w:styleId="af4">
    <w:name w:val="批注主题 字符"/>
    <w:uiPriority w:val="99"/>
    <w:semiHidden/>
    <w:qFormat/>
    <w:rPr>
      <w:rFonts w:ascii="Times New Roman" w:eastAsia="宋体" w:hAnsi="Times New Roman" w:cs="Times New Roman"/>
      <w:b/>
      <w:bCs/>
      <w:szCs w:val="24"/>
    </w:rPr>
  </w:style>
  <w:style w:type="character" w:customStyle="1" w:styleId="af5">
    <w:name w:val="批注框文本 字符"/>
    <w:uiPriority w:val="99"/>
    <w:semiHidden/>
    <w:qFormat/>
    <w:rPr>
      <w:rFonts w:ascii="Times New Roman" w:eastAsia="宋体" w:hAnsi="Times New Roman" w:cs="Times New Roman"/>
      <w:sz w:val="18"/>
      <w:szCs w:val="18"/>
    </w:rPr>
  </w:style>
  <w:style w:type="character" w:customStyle="1" w:styleId="11">
    <w:name w:val="批注框文本 字符1"/>
    <w:link w:val="a7"/>
    <w:semiHidden/>
    <w:qFormat/>
    <w:rPr>
      <w:rFonts w:ascii="Times New Roman" w:eastAsia="宋体" w:hAnsi="Times New Roman" w:cs="Times New Roman"/>
      <w:sz w:val="18"/>
      <w:szCs w:val="18"/>
    </w:rPr>
  </w:style>
  <w:style w:type="character" w:customStyle="1" w:styleId="Char1">
    <w:name w:val="批注文字 Char1"/>
    <w:qFormat/>
    <w:rPr>
      <w:rFonts w:ascii="Times New Roman" w:eastAsia="宋体" w:hAnsi="Times New Roman" w:cs="Times New Roman"/>
      <w:szCs w:val="24"/>
    </w:rPr>
  </w:style>
  <w:style w:type="character" w:customStyle="1" w:styleId="af6">
    <w:name w:val="批注文字 字符"/>
    <w:semiHidden/>
    <w:qFormat/>
    <w:rPr>
      <w:rFonts w:ascii="Times New Roman" w:eastAsia="宋体" w:hAnsi="Times New Roman" w:cs="Times New Roman"/>
      <w:szCs w:val="24"/>
    </w:rPr>
  </w:style>
  <w:style w:type="character" w:customStyle="1" w:styleId="read">
    <w:name w:val="read"/>
    <w:qFormat/>
  </w:style>
  <w:style w:type="character" w:customStyle="1" w:styleId="HTML0">
    <w:name w:val="HTML 预设格式 字符"/>
    <w:uiPriority w:val="99"/>
    <w:semiHidden/>
    <w:qFormat/>
    <w:rPr>
      <w:rFonts w:ascii="Courier New" w:eastAsia="宋体" w:hAnsi="Courier New" w:cs="Courier New"/>
      <w:sz w:val="20"/>
      <w:szCs w:val="20"/>
    </w:rPr>
  </w:style>
  <w:style w:type="character" w:customStyle="1" w:styleId="13">
    <w:name w:val="批注主题 字符1"/>
    <w:link w:val="ad"/>
    <w:qFormat/>
    <w:rPr>
      <w:rFonts w:ascii="Times New Roman" w:eastAsia="宋体" w:hAnsi="Times New Roman" w:cs="Times New Roman"/>
      <w:b/>
      <w:bCs/>
      <w:szCs w:val="24"/>
    </w:rPr>
  </w:style>
  <w:style w:type="character" w:customStyle="1" w:styleId="25">
    <w:name w:val="正文文本缩进 2 字符"/>
    <w:uiPriority w:val="99"/>
    <w:semiHidden/>
    <w:qFormat/>
    <w:rPr>
      <w:rFonts w:ascii="Times New Roman" w:eastAsia="宋体" w:hAnsi="Times New Roman" w:cs="Times New Roman"/>
      <w:szCs w:val="24"/>
    </w:rPr>
  </w:style>
  <w:style w:type="character" w:customStyle="1" w:styleId="Char">
    <w:name w:val="页脚 Char"/>
    <w:uiPriority w:val="99"/>
    <w:qFormat/>
    <w:rPr>
      <w:sz w:val="18"/>
      <w:szCs w:val="18"/>
    </w:rPr>
  </w:style>
  <w:style w:type="character" w:customStyle="1" w:styleId="Char0">
    <w:name w:val="页眉 Char"/>
    <w:uiPriority w:val="99"/>
    <w:qFormat/>
    <w:rPr>
      <w:sz w:val="18"/>
      <w:szCs w:val="18"/>
    </w:rPr>
  </w:style>
  <w:style w:type="character" w:customStyle="1" w:styleId="31">
    <w:name w:val="正文文本缩进 3 字符1"/>
    <w:link w:val="30"/>
    <w:qFormat/>
    <w:rPr>
      <w:rFonts w:ascii="仿宋_GB2312" w:eastAsia="仿宋_GB2312" w:hAnsi="宋体" w:cs="Arial"/>
      <w:color w:val="000000"/>
      <w:sz w:val="24"/>
      <w:szCs w:val="24"/>
    </w:rPr>
  </w:style>
  <w:style w:type="character" w:customStyle="1" w:styleId="a9">
    <w:name w:val="页脚 字符"/>
    <w:link w:val="a8"/>
    <w:uiPriority w:val="99"/>
    <w:qFormat/>
    <w:rPr>
      <w:sz w:val="18"/>
      <w:szCs w:val="18"/>
    </w:rPr>
  </w:style>
  <w:style w:type="character" w:customStyle="1" w:styleId="21">
    <w:name w:val="标题 2 字符1"/>
    <w:link w:val="2"/>
    <w:qFormat/>
    <w:rPr>
      <w:rFonts w:ascii="Arial" w:eastAsia="黑体" w:hAnsi="Arial" w:cs="Times New Roman"/>
      <w:b/>
      <w:sz w:val="32"/>
      <w:szCs w:val="20"/>
    </w:rPr>
  </w:style>
  <w:style w:type="character" w:customStyle="1" w:styleId="10">
    <w:name w:val="正文文本缩进 字符1"/>
    <w:link w:val="a6"/>
    <w:qFormat/>
    <w:rPr>
      <w:rFonts w:ascii="Times New Roman" w:eastAsia="方正仿宋简体" w:hAnsi="Times New Roman" w:cs="Times New Roman"/>
      <w:sz w:val="24"/>
      <w:szCs w:val="30"/>
    </w:rPr>
  </w:style>
  <w:style w:type="character" w:customStyle="1" w:styleId="1">
    <w:name w:val="正文文本 字符1"/>
    <w:link w:val="a5"/>
    <w:qFormat/>
    <w:rPr>
      <w:rFonts w:ascii="仿宋_GB2312" w:eastAsia="仿宋_GB2312" w:hAnsi="Times New Roman" w:cs="Times New Roman"/>
      <w:color w:val="000000"/>
      <w:kern w:val="0"/>
      <w:sz w:val="24"/>
      <w:szCs w:val="28"/>
    </w:rPr>
  </w:style>
  <w:style w:type="character" w:customStyle="1" w:styleId="af7">
    <w:name w:val="正文文本 字符"/>
    <w:uiPriority w:val="99"/>
    <w:semiHidden/>
    <w:qFormat/>
    <w:rPr>
      <w:rFonts w:ascii="Times New Roman" w:eastAsia="宋体" w:hAnsi="Times New Roman" w:cs="Times New Roman"/>
      <w:szCs w:val="24"/>
    </w:rPr>
  </w:style>
  <w:style w:type="paragraph" w:customStyle="1" w:styleId="wz1">
    <w:name w:val="wz1"/>
    <w:basedOn w:val="a"/>
    <w:qFormat/>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paragraph" w:customStyle="1" w:styleId="CharCharChar">
    <w:name w:val="Char Char Char"/>
    <w:basedOn w:val="a"/>
    <w:qFormat/>
  </w:style>
  <w:style w:type="paragraph" w:customStyle="1" w:styleId="Char10">
    <w:name w:val="Char1"/>
    <w:basedOn w:val="a"/>
    <w:qFormat/>
    <w:pPr>
      <w:tabs>
        <w:tab w:val="left" w:pos="832"/>
      </w:tabs>
      <w:ind w:left="832" w:hanging="420"/>
      <w:jc w:val="center"/>
    </w:pPr>
    <w:rPr>
      <w:rFonts w:ascii="楷体_GB2312" w:eastAsia="楷体_GB2312"/>
      <w:b/>
      <w:color w:val="000080"/>
      <w:sz w:val="30"/>
      <w:szCs w:val="30"/>
    </w:rPr>
  </w:style>
  <w:style w:type="paragraph" w:customStyle="1" w:styleId="CharChar">
    <w:name w:val="Char Char"/>
    <w:basedOn w:val="a"/>
    <w:qFormat/>
    <w:rPr>
      <w:szCs w:val="20"/>
    </w:rPr>
  </w:style>
  <w:style w:type="paragraph" w:customStyle="1" w:styleId="Char2">
    <w:name w:val="Char"/>
    <w:basedOn w:val="a"/>
    <w:qFormat/>
  </w:style>
  <w:style w:type="paragraph" w:customStyle="1" w:styleId="15">
    <w:name w:val="修订1"/>
    <w:uiPriority w:val="99"/>
    <w:semiHidden/>
    <w:qFormat/>
    <w:rPr>
      <w:rFonts w:ascii="Times New Roman" w:hAnsi="Times New Roman"/>
      <w:kern w:val="2"/>
      <w:sz w:val="21"/>
      <w:szCs w:val="24"/>
    </w:rPr>
  </w:style>
  <w:style w:type="paragraph" w:customStyle="1" w:styleId="CharCharCharCharCharCharChar1CharCharCharCharCharChar">
    <w:name w:val="Char Char Char Char Char Char Char1 Char Char Char Char Char Char"/>
    <w:basedOn w:val="a"/>
    <w:qFormat/>
  </w:style>
  <w:style w:type="paragraph" w:customStyle="1" w:styleId="26">
    <w:name w:val="修订2"/>
    <w:hidden/>
    <w:uiPriority w:val="99"/>
    <w:semiHidden/>
    <w:qFormat/>
    <w:rPr>
      <w:rFonts w:ascii="Times New Roman" w:hAnsi="Times New Roman"/>
      <w:kern w:val="2"/>
      <w:sz w:val="21"/>
      <w:szCs w:val="24"/>
    </w:rPr>
  </w:style>
  <w:style w:type="paragraph" w:customStyle="1" w:styleId="33">
    <w:name w:val="修订3"/>
    <w:hidden/>
    <w:uiPriority w:val="99"/>
    <w:semiHidden/>
    <w:qFormat/>
    <w:rPr>
      <w:rFonts w:ascii="Times New Roman" w:hAnsi="Times New Roman"/>
      <w:kern w:val="2"/>
      <w:sz w:val="21"/>
      <w:szCs w:val="24"/>
    </w:rPr>
  </w:style>
  <w:style w:type="paragraph" w:styleId="af8">
    <w:name w:val="Revision"/>
    <w:hidden/>
    <w:uiPriority w:val="99"/>
    <w:semiHidden/>
    <w:rsid w:val="006E6C04"/>
    <w:rPr>
      <w:rFonts w:ascii="Times New Roman" w:hAnsi="Times New Roman"/>
      <w:kern w:val="2"/>
      <w:sz w:val="21"/>
      <w:szCs w:val="24"/>
    </w:rPr>
  </w:style>
  <w:style w:type="paragraph" w:customStyle="1" w:styleId="40">
    <w:name w:val="修订4"/>
    <w:hidden/>
    <w:uiPriority w:val="99"/>
    <w:semiHidden/>
    <w:qFormat/>
    <w:rsid w:val="00845312"/>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F9CA9-EE38-4A8F-9A58-1FD21162B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5279</Words>
  <Characters>30094</Characters>
  <Application>Microsoft Office Word</Application>
  <DocSecurity>0</DocSecurity>
  <Lines>250</Lines>
  <Paragraphs>70</Paragraphs>
  <ScaleCrop>false</ScaleCrop>
  <Company>神州网信技术有限公司</Company>
  <LinksUpToDate>false</LinksUpToDate>
  <CharactersWithSpaces>35303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戴维</cp:lastModifiedBy>
  <cp:revision>2</cp:revision>
  <cp:lastPrinted>2025-12-04T06:56:00Z</cp:lastPrinted>
  <dcterms:created xsi:type="dcterms:W3CDTF">2026-07-27T06:18:00Z</dcterms:created>
  <dcterms:modified xsi:type="dcterms:W3CDTF">2026-07-27T06:18:00Z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F2CF8C89592B4F3B9FA45E3DADACFB95</vt:lpwstr>
  </property>
</Properties>
</file>