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3F" w:rsidRDefault="005A773F" w:rsidP="005A773F">
      <w:pPr>
        <w:jc w:val="center"/>
        <w:rPr>
          <w:rFonts w:ascii="彩虹小标宋" w:eastAsia="彩虹小标宋" w:cs="宋体"/>
          <w:color w:val="000000"/>
          <w:kern w:val="0"/>
          <w:sz w:val="44"/>
          <w:szCs w:val="30"/>
        </w:rPr>
      </w:pPr>
      <w:r>
        <w:rPr>
          <w:rFonts w:ascii="彩虹小标宋" w:eastAsia="彩虹小标宋" w:cs="宋体" w:hint="eastAsia"/>
          <w:color w:val="000000"/>
          <w:kern w:val="0"/>
          <w:sz w:val="44"/>
          <w:szCs w:val="30"/>
        </w:rPr>
        <w:t>建设银行</w:t>
      </w:r>
      <w:r w:rsidRPr="00DA1C12">
        <w:rPr>
          <w:rFonts w:ascii="彩虹小标宋" w:eastAsia="彩虹小标宋" w:cs="宋体" w:hint="eastAsia"/>
          <w:color w:val="000000"/>
          <w:kern w:val="0"/>
          <w:sz w:val="44"/>
          <w:szCs w:val="30"/>
        </w:rPr>
        <w:t>率先开启税收新政策下的</w:t>
      </w:r>
    </w:p>
    <w:p w:rsidR="005A773F" w:rsidRPr="00DA1C12" w:rsidRDefault="005A773F" w:rsidP="005A773F">
      <w:pPr>
        <w:jc w:val="center"/>
        <w:rPr>
          <w:rFonts w:ascii="彩虹小标宋" w:eastAsia="彩虹小标宋" w:cs="宋体"/>
          <w:color w:val="000000"/>
          <w:kern w:val="0"/>
          <w:sz w:val="44"/>
          <w:szCs w:val="30"/>
        </w:rPr>
      </w:pPr>
      <w:r w:rsidRPr="00DA1C12">
        <w:rPr>
          <w:rFonts w:ascii="彩虹小标宋" w:eastAsia="彩虹小标宋" w:cs="宋体" w:hint="eastAsia"/>
          <w:color w:val="000000"/>
          <w:kern w:val="0"/>
          <w:sz w:val="44"/>
          <w:szCs w:val="30"/>
        </w:rPr>
        <w:t>企业年金支付业务</w:t>
      </w:r>
    </w:p>
    <w:p w:rsidR="005A773F" w:rsidRPr="00451ACC" w:rsidRDefault="005A773F" w:rsidP="005A773F">
      <w:pPr>
        <w:jc w:val="center"/>
        <w:rPr>
          <w:rFonts w:ascii="彩虹小标宋" w:eastAsia="彩虹小标宋" w:cs="宋体"/>
          <w:color w:val="000000"/>
          <w:kern w:val="0"/>
          <w:sz w:val="30"/>
          <w:szCs w:val="30"/>
        </w:rPr>
      </w:pPr>
    </w:p>
    <w:p w:rsidR="005A773F" w:rsidRDefault="005A773F" w:rsidP="005A773F">
      <w:pPr>
        <w:ind w:firstLine="564"/>
        <w:rPr>
          <w:rFonts w:ascii="彩虹粗仿宋" w:eastAsia="彩虹粗仿宋" w:hAnsi="Calibri" w:cs="Times New Roman" w:hint="eastAsia"/>
          <w:sz w:val="32"/>
          <w:szCs w:val="32"/>
        </w:rPr>
      </w:pPr>
      <w:r w:rsidRPr="005A773F">
        <w:rPr>
          <w:rFonts w:ascii="彩虹粗仿宋" w:eastAsia="彩虹粗仿宋" w:hAnsi="Calibri" w:cs="Times New Roman" w:hint="eastAsia"/>
          <w:sz w:val="32"/>
          <w:szCs w:val="32"/>
        </w:rPr>
        <w:t>今年退休的老杨在5月底收到了首笔企业年金待遇。根据建设银行提供的《年金税收政策解读与实务操作手册》和个税测算工具，他重新确定了年金的分期领取次数，相比原本选择的一次性支付减少了9415元的个人所得税。这让老杨非常高兴！</w:t>
      </w:r>
    </w:p>
    <w:p w:rsidR="005A773F" w:rsidRPr="005A773F" w:rsidRDefault="005A773F" w:rsidP="005A773F">
      <w:pPr>
        <w:ind w:firstLine="564"/>
        <w:rPr>
          <w:rFonts w:ascii="彩虹粗仿宋" w:eastAsia="彩虹粗仿宋" w:hAnsi="Calibri" w:cs="Times New Roman"/>
          <w:sz w:val="32"/>
          <w:szCs w:val="32"/>
        </w:rPr>
      </w:pPr>
      <w:r w:rsidRPr="005A773F">
        <w:rPr>
          <w:rFonts w:ascii="彩虹粗仿宋" w:eastAsia="彩虹粗仿宋" w:hAnsi="Calibri" w:cs="Times New Roman" w:hint="eastAsia"/>
          <w:sz w:val="32"/>
          <w:szCs w:val="32"/>
        </w:rPr>
        <w:t>财政部、人力资源社会保障部、国家税务总局于</w:t>
      </w:r>
      <w:r w:rsidRPr="005A773F">
        <w:rPr>
          <w:rFonts w:ascii="彩虹粗仿宋" w:eastAsia="彩虹粗仿宋" w:hAnsi="宋体" w:cs="宋体" w:hint="eastAsia"/>
          <w:sz w:val="32"/>
          <w:szCs w:val="32"/>
        </w:rPr>
        <w:t>2013年</w:t>
      </w:r>
      <w:r w:rsidRPr="005A773F">
        <w:rPr>
          <w:rFonts w:ascii="彩虹粗仿宋" w:eastAsia="彩虹粗仿宋" w:hAnsi="Calibri" w:cs="Times New Roman" w:hint="eastAsia"/>
          <w:sz w:val="32"/>
          <w:szCs w:val="32"/>
        </w:rPr>
        <w:t>底联合下发了《关于企业年金 职业年金个人所得税有关问题的通知》（财税〔2013〕103号），</w:t>
      </w:r>
      <w:r w:rsidRPr="005A773F">
        <w:rPr>
          <w:rFonts w:ascii="彩虹粗仿宋" w:eastAsia="彩虹粗仿宋" w:hint="eastAsia"/>
          <w:sz w:val="32"/>
          <w:szCs w:val="32"/>
        </w:rPr>
        <w:t>明确了我国企业年金、职业年金的EET税收模式，即在缴费及投资环节免税、在待遇领取环节征税，规范了企业年金、职业年金税收政策，建立了免税、延期征税机制。税收新政</w:t>
      </w:r>
      <w:r w:rsidRPr="005A773F">
        <w:rPr>
          <w:rFonts w:ascii="彩虹粗仿宋" w:eastAsia="彩虹粗仿宋" w:hAnsi="Calibri" w:cs="Times New Roman" w:hint="eastAsia"/>
          <w:sz w:val="32"/>
          <w:szCs w:val="32"/>
        </w:rPr>
        <w:t>对企业年金业务的发展有着里程碑意义，但是</w:t>
      </w:r>
      <w:r w:rsidRPr="005A773F">
        <w:rPr>
          <w:rFonts w:ascii="彩虹粗仿宋" w:eastAsia="彩虹粗仿宋" w:hint="eastAsia"/>
          <w:sz w:val="32"/>
          <w:szCs w:val="32"/>
        </w:rPr>
        <w:t>对年金管理机构的业务操作和系统功能等提出了更高的要求</w:t>
      </w:r>
      <w:r w:rsidRPr="005A773F">
        <w:rPr>
          <w:rFonts w:ascii="彩虹粗仿宋" w:eastAsia="彩虹粗仿宋" w:hAnsi="Calibri" w:cs="Times New Roman" w:hint="eastAsia"/>
          <w:sz w:val="32"/>
          <w:szCs w:val="32"/>
        </w:rPr>
        <w:t>。</w:t>
      </w:r>
    </w:p>
    <w:p w:rsidR="005A773F" w:rsidRPr="005A773F" w:rsidRDefault="005A773F" w:rsidP="005A773F">
      <w:pPr>
        <w:ind w:firstLine="564"/>
        <w:rPr>
          <w:rFonts w:ascii="彩虹粗仿宋" w:eastAsia="彩虹粗仿宋" w:hAnsi="Calibri" w:cs="Times New Roman"/>
          <w:sz w:val="32"/>
          <w:szCs w:val="32"/>
        </w:rPr>
      </w:pPr>
      <w:r w:rsidRPr="005A773F">
        <w:rPr>
          <w:rFonts w:ascii="彩虹粗仿宋" w:eastAsia="彩虹粗仿宋" w:hAnsi="Calibri" w:cs="Times New Roman" w:hint="eastAsia"/>
          <w:sz w:val="32"/>
          <w:szCs w:val="32"/>
        </w:rPr>
        <w:t>建设银行迅速对国家政策进行详细研究分析，修改有关业务流程，对业务系统涉税功能进行升级改造，在业内首家开启了年金新政下的企业年金支付业务。同时，向客户印发了《年金税收政策解读与实务操作手册》，解读政策变动细节和影响，指导客户结合政策按照个人具体情况合理确定分期领取次数，从而减轻个税负</w:t>
      </w:r>
      <w:proofErr w:type="gramStart"/>
      <w:r w:rsidRPr="005A773F">
        <w:rPr>
          <w:rFonts w:ascii="彩虹粗仿宋" w:eastAsia="彩虹粗仿宋" w:hAnsi="Calibri" w:cs="Times New Roman" w:hint="eastAsia"/>
          <w:sz w:val="32"/>
          <w:szCs w:val="32"/>
        </w:rPr>
        <w:t>担享受</w:t>
      </w:r>
      <w:proofErr w:type="gramEnd"/>
      <w:r w:rsidRPr="005A773F">
        <w:rPr>
          <w:rFonts w:ascii="彩虹粗仿宋" w:eastAsia="彩虹粗仿宋" w:hAnsi="Calibri" w:cs="Times New Roman" w:hint="eastAsia"/>
          <w:sz w:val="32"/>
          <w:szCs w:val="32"/>
        </w:rPr>
        <w:t>国家优惠。本着维护员</w:t>
      </w:r>
      <w:r w:rsidRPr="005A773F">
        <w:rPr>
          <w:rFonts w:ascii="彩虹粗仿宋" w:eastAsia="彩虹粗仿宋" w:hAnsi="Calibri" w:cs="Times New Roman" w:hint="eastAsia"/>
          <w:sz w:val="32"/>
          <w:szCs w:val="32"/>
        </w:rPr>
        <w:lastRenderedPageBreak/>
        <w:t>工利益、合</w:t>
      </w:r>
      <w:proofErr w:type="gramStart"/>
      <w:r w:rsidRPr="005A773F">
        <w:rPr>
          <w:rFonts w:ascii="彩虹粗仿宋" w:eastAsia="彩虹粗仿宋" w:hAnsi="Calibri" w:cs="Times New Roman" w:hint="eastAsia"/>
          <w:sz w:val="32"/>
          <w:szCs w:val="32"/>
        </w:rPr>
        <w:t>规</w:t>
      </w:r>
      <w:proofErr w:type="gramEnd"/>
      <w:r w:rsidRPr="005A773F">
        <w:rPr>
          <w:rFonts w:ascii="彩虹粗仿宋" w:eastAsia="彩虹粗仿宋" w:hAnsi="Calibri" w:cs="Times New Roman" w:hint="eastAsia"/>
          <w:sz w:val="32"/>
          <w:szCs w:val="32"/>
        </w:rPr>
        <w:t>业务操作的原则，根据企业年金方案和政策规定，积极与企业、账户管理人研究，同监管部门、托管人沟通，针对每个企业年金计划逐个制订个性化支付方案。同时，还组织部</w:t>
      </w:r>
      <w:proofErr w:type="gramStart"/>
      <w:r w:rsidRPr="005A773F">
        <w:rPr>
          <w:rFonts w:ascii="彩虹粗仿宋" w:eastAsia="彩虹粗仿宋" w:hAnsi="Calibri" w:cs="Times New Roman" w:hint="eastAsia"/>
          <w:sz w:val="32"/>
          <w:szCs w:val="32"/>
        </w:rPr>
        <w:t>分客户</w:t>
      </w:r>
      <w:proofErr w:type="gramEnd"/>
      <w:r w:rsidRPr="005A773F">
        <w:rPr>
          <w:rFonts w:ascii="彩虹粗仿宋" w:eastAsia="彩虹粗仿宋" w:hAnsi="Calibri" w:cs="Times New Roman" w:hint="eastAsia"/>
          <w:sz w:val="32"/>
          <w:szCs w:val="32"/>
        </w:rPr>
        <w:t>召开了政策座谈会，现场解答客户在缴费、支付等各个环节疑问。建设银行养老金业务优质高效的服务，让老杨这样今年新退休的企业职工不仅及时领取到了企业年金待遇，还按照国家政策享受到了合理的个税优惠。</w:t>
      </w:r>
    </w:p>
    <w:p w:rsidR="005A773F" w:rsidRPr="005A773F" w:rsidRDefault="005A773F" w:rsidP="005A773F">
      <w:pPr>
        <w:ind w:firstLine="564"/>
        <w:rPr>
          <w:rFonts w:ascii="彩虹粗仿宋" w:eastAsia="彩虹粗仿宋" w:hAnsi="Calibri" w:cs="Times New Roman" w:hint="eastAsia"/>
          <w:sz w:val="32"/>
          <w:szCs w:val="32"/>
        </w:rPr>
      </w:pPr>
      <w:r w:rsidRPr="005A773F">
        <w:rPr>
          <w:rFonts w:ascii="彩虹粗仿宋" w:eastAsia="彩虹粗仿宋" w:hAnsi="Calibri" w:cs="Times New Roman" w:hint="eastAsia"/>
          <w:sz w:val="32"/>
          <w:szCs w:val="32"/>
        </w:rPr>
        <w:t>作为中国养老金市场的主要参与者和养老金融服务的专业机构，建设银行积极参与我国多层次养老保障体系的建设，致力于为广大客户提供各类养老保障细分市场的全面解决方案，养老金产品覆盖各类年金计划及员工福利计划，可以满足客户多元化、个性化的养老保障需求。</w:t>
      </w:r>
      <w:r w:rsidR="00AA690D">
        <w:rPr>
          <w:rFonts w:ascii="彩虹粗仿宋" w:eastAsia="彩虹粗仿宋" w:hAnsi="Calibri" w:cs="Times New Roman" w:hint="eastAsia"/>
          <w:sz w:val="32"/>
          <w:szCs w:val="32"/>
        </w:rPr>
        <w:t>建设银行</w:t>
      </w:r>
      <w:bookmarkStart w:id="0" w:name="_GoBack"/>
      <w:bookmarkEnd w:id="0"/>
      <w:r w:rsidRPr="005A773F">
        <w:rPr>
          <w:rFonts w:ascii="彩虹粗仿宋" w:eastAsia="彩虹粗仿宋" w:hAnsi="Calibri" w:cs="Times New Roman" w:hint="eastAsia"/>
          <w:sz w:val="32"/>
          <w:szCs w:val="32"/>
        </w:rPr>
        <w:t>秉承“忠于所托，为民养老”的服务理念，凭借资深的行业经验和专业能力，正在为国内众多大型央企、集团性客户、中小企业和事业单位等共计超过2万家客户提供专业的养老金管理服务，在养老金业务领域保持着同业领先的市场地位。</w:t>
      </w:r>
    </w:p>
    <w:p w:rsidR="005A773F" w:rsidRPr="005A773F" w:rsidRDefault="005A773F" w:rsidP="005A773F">
      <w:pPr>
        <w:ind w:firstLine="564"/>
        <w:rPr>
          <w:rFonts w:ascii="彩虹粗仿宋" w:eastAsia="彩虹粗仿宋" w:hAnsi="Calibri" w:cs="Times New Roman"/>
          <w:sz w:val="32"/>
          <w:szCs w:val="32"/>
        </w:rPr>
      </w:pPr>
      <w:r w:rsidRPr="005A773F">
        <w:rPr>
          <w:rFonts w:ascii="彩虹粗仿宋" w:eastAsia="彩虹粗仿宋" w:hAnsi="Calibri" w:cs="Times New Roman" w:hint="eastAsia"/>
          <w:sz w:val="32"/>
          <w:szCs w:val="32"/>
        </w:rPr>
        <w:t>近年来，</w:t>
      </w:r>
      <w:r w:rsidR="00AA690D">
        <w:rPr>
          <w:rFonts w:ascii="彩虹粗仿宋" w:eastAsia="彩虹粗仿宋" w:hAnsi="Calibri" w:cs="Times New Roman" w:hint="eastAsia"/>
          <w:sz w:val="32"/>
          <w:szCs w:val="32"/>
        </w:rPr>
        <w:t>建设银行</w:t>
      </w:r>
      <w:r w:rsidRPr="005A773F">
        <w:rPr>
          <w:rFonts w:ascii="彩虹粗仿宋" w:eastAsia="彩虹粗仿宋" w:hAnsi="Calibri" w:cs="Times New Roman" w:hint="eastAsia"/>
          <w:sz w:val="32"/>
          <w:szCs w:val="32"/>
        </w:rPr>
        <w:t>先后荣获《首席财务官》最佳养老金品牌奖、民生中国-中国养老金融最具领导力品牌、中国养老金融服务公众满意最佳典范品牌、中国养老金融服务最具竞争力品牌、中国银行业协会养老金专业突出贡献单位奖等多项重要荣誉，得到了社会各界的广泛认可。</w:t>
      </w:r>
    </w:p>
    <w:p w:rsidR="00862417" w:rsidRPr="005A773F" w:rsidRDefault="00862417" w:rsidP="005A773F"/>
    <w:sectPr w:rsidR="00862417" w:rsidRPr="005A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3F"/>
    <w:rsid w:val="00012AF9"/>
    <w:rsid w:val="000830AB"/>
    <w:rsid w:val="00240DAB"/>
    <w:rsid w:val="004D3CD3"/>
    <w:rsid w:val="005A773F"/>
    <w:rsid w:val="00603438"/>
    <w:rsid w:val="007063AB"/>
    <w:rsid w:val="00773F4D"/>
    <w:rsid w:val="00862417"/>
    <w:rsid w:val="00955783"/>
    <w:rsid w:val="00996811"/>
    <w:rsid w:val="00AA690D"/>
    <w:rsid w:val="00B8581B"/>
    <w:rsid w:val="00B907D2"/>
    <w:rsid w:val="00DD58E5"/>
    <w:rsid w:val="00EB68D9"/>
    <w:rsid w:val="00EE43BB"/>
    <w:rsid w:val="00F1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69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69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69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69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张晟</dc:creator>
  <cp:lastModifiedBy>张晟</cp:lastModifiedBy>
  <cp:revision>2</cp:revision>
  <cp:lastPrinted>2014-06-18T03:11:00Z</cp:lastPrinted>
  <dcterms:created xsi:type="dcterms:W3CDTF">2014-06-18T03:09:00Z</dcterms:created>
  <dcterms:modified xsi:type="dcterms:W3CDTF">2014-06-18T03:14:00Z</dcterms:modified>
</cp:coreProperties>
</file>