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FC" w:rsidRDefault="009F22F2">
      <w:pPr>
        <w:widowControl/>
        <w:shd w:val="clear" w:color="auto" w:fill="FFFFFF"/>
        <w:jc w:val="center"/>
        <w:rPr>
          <w:rFonts w:ascii="彩虹小标宋" w:eastAsia="彩虹小标宋" w:hAnsi="华文细黑" w:cs="宋体"/>
          <w:b/>
          <w:color w:val="000000"/>
          <w:kern w:val="0"/>
          <w:sz w:val="36"/>
          <w:szCs w:val="36"/>
        </w:rPr>
      </w:pPr>
      <w:r>
        <w:rPr>
          <w:rFonts w:ascii="彩虹小标宋" w:eastAsia="彩虹小标宋" w:hAnsi="华文细黑" w:cs="宋体" w:hint="eastAsia"/>
          <w:b/>
          <w:color w:val="000000"/>
          <w:kern w:val="0"/>
          <w:sz w:val="36"/>
          <w:szCs w:val="36"/>
        </w:rPr>
        <w:t>建信期货有限责任公司在上海揭牌</w:t>
      </w:r>
    </w:p>
    <w:p w:rsidR="008A44FC" w:rsidRDefault="008A44FC">
      <w:pPr>
        <w:widowControl/>
        <w:shd w:val="clear" w:color="auto" w:fill="FFFFFF"/>
        <w:jc w:val="center"/>
        <w:rPr>
          <w:rFonts w:ascii="彩虹粗仿宋" w:eastAsia="彩虹粗仿宋" w:hAnsi="华文细黑" w:cs="宋体"/>
          <w:color w:val="000000"/>
          <w:kern w:val="0"/>
          <w:sz w:val="32"/>
          <w:szCs w:val="32"/>
        </w:rPr>
      </w:pPr>
    </w:p>
    <w:p w:rsidR="008A44FC" w:rsidRDefault="009F22F2">
      <w:pPr>
        <w:ind w:firstLineChars="200" w:firstLine="640"/>
        <w:rPr>
          <w:rFonts w:ascii="彩虹粗仿宋" w:eastAsia="彩虹粗仿宋" w:cs="仿宋_GB2312"/>
          <w:color w:val="000000"/>
          <w:kern w:val="0"/>
          <w:sz w:val="32"/>
          <w:szCs w:val="32"/>
        </w:rPr>
      </w:pPr>
      <w:r w:rsidRPr="009522C8"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9月4日，</w:t>
      </w:r>
      <w:r w:rsidR="009522C8" w:rsidRPr="009522C8"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建信期货有限责任公司在沪举行揭牌仪式。由上海市政府屠光绍副市长和中国建设银行王洪章董事长</w:t>
      </w:r>
      <w:r w:rsidRPr="009522C8"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共同为该公司揭牌。</w:t>
      </w:r>
    </w:p>
    <w:p w:rsidR="008A44FC" w:rsidRDefault="009F22F2">
      <w:pPr>
        <w:ind w:firstLineChars="200" w:firstLine="640"/>
        <w:rPr>
          <w:rFonts w:ascii="彩虹粗仿宋" w:eastAsia="彩虹粗仿宋" w:cs="仿宋_GB2312"/>
          <w:color w:val="000000"/>
          <w:kern w:val="0"/>
          <w:sz w:val="32"/>
          <w:szCs w:val="32"/>
        </w:rPr>
      </w:pPr>
      <w:r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据悉，中国证监会今年1月批复同意建设银行附属建</w:t>
      </w:r>
      <w:proofErr w:type="gramStart"/>
      <w:r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信</w:t>
      </w:r>
      <w:proofErr w:type="gramEnd"/>
      <w:r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信托有限责任公司以增资扩股方式控股</w:t>
      </w:r>
      <w:proofErr w:type="gramStart"/>
      <w:r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上海良茂期货</w:t>
      </w:r>
      <w:proofErr w:type="gramEnd"/>
      <w:r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经纪有限公司，并于4月更名为“建信期货有限责任公司”。此次揭牌仪式标志着建设银行正式进军期货行业，建信期货成为中国建设银行旗下又一新的金融平台。</w:t>
      </w:r>
    </w:p>
    <w:p w:rsidR="008A44FC" w:rsidRDefault="009F22F2">
      <w:pPr>
        <w:ind w:firstLineChars="200" w:firstLine="640"/>
        <w:rPr>
          <w:rFonts w:ascii="彩虹粗仿宋" w:eastAsia="彩虹粗仿宋" w:cs="仿宋_GB2312"/>
          <w:color w:val="000000"/>
          <w:kern w:val="0"/>
          <w:sz w:val="32"/>
          <w:szCs w:val="32"/>
        </w:rPr>
      </w:pPr>
      <w:r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建信期货有限责任公司总部设在上海市，目</w:t>
      </w:r>
      <w:bookmarkStart w:id="0" w:name="_GoBack"/>
      <w:bookmarkEnd w:id="0"/>
      <w:r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前具有商品期货经纪业务、金融期货经纪业务资格，是上海期货交易所、大连商品交易所、郑州商品交易所会员，是中国金融期货交易所交易结算会员。公司目前在上海、北京、郑州、福清、宁德、厦门、泉州等地拥有8家营业部。</w:t>
      </w:r>
    </w:p>
    <w:p w:rsidR="008A44FC" w:rsidRDefault="009F22F2">
      <w:pPr>
        <w:ind w:firstLineChars="200" w:firstLine="640"/>
        <w:rPr>
          <w:rFonts w:ascii="彩虹粗仿宋" w:eastAsia="彩虹粗仿宋" w:cs="仿宋_GB2312"/>
          <w:color w:val="000000"/>
          <w:kern w:val="0"/>
          <w:sz w:val="32"/>
          <w:szCs w:val="32"/>
        </w:rPr>
      </w:pPr>
      <w:r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今年5月份，国务院为进一步促进资本市场健康发展出台了“新国九条”，新政策出台为期货行业注入了新的活力，建信期货将依托建设银行的优势加快转型发展，扩大经营范围，完善管理机制，丰富产品结构，创建品牌特色，提升服务水平，把建信期货建成业绩优良、产品丰富、服务高效、技术领先、管理规范的国内一流期货公司。</w:t>
      </w:r>
    </w:p>
    <w:p w:rsidR="008A44FC" w:rsidRDefault="009F22F2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  <w:proofErr w:type="gramStart"/>
      <w:r>
        <w:rPr>
          <w:rFonts w:ascii="彩虹粗仿宋" w:eastAsia="彩虹粗仿宋" w:hint="eastAsia"/>
          <w:sz w:val="32"/>
          <w:szCs w:val="32"/>
        </w:rPr>
        <w:t>自股改上市</w:t>
      </w:r>
      <w:proofErr w:type="gramEnd"/>
      <w:r>
        <w:rPr>
          <w:rFonts w:ascii="彩虹粗仿宋" w:eastAsia="彩虹粗仿宋" w:hint="eastAsia"/>
          <w:sz w:val="32"/>
          <w:szCs w:val="32"/>
        </w:rPr>
        <w:t>以来，建设银行积极响应国家引导，稳妥推</w:t>
      </w:r>
      <w:r>
        <w:rPr>
          <w:rFonts w:ascii="彩虹粗仿宋" w:eastAsia="彩虹粗仿宋" w:hint="eastAsia"/>
          <w:sz w:val="32"/>
          <w:szCs w:val="32"/>
        </w:rPr>
        <w:lastRenderedPageBreak/>
        <w:t>进综合化经营，</w:t>
      </w:r>
      <w:r>
        <w:rPr>
          <w:rFonts w:ascii="彩虹粗仿宋" w:eastAsia="彩虹粗仿宋" w:hAnsi="宋体" w:hint="eastAsia"/>
          <w:sz w:val="32"/>
          <w:szCs w:val="32"/>
        </w:rPr>
        <w:t>整合金融资源支持实体经济发展。</w:t>
      </w:r>
      <w:r>
        <w:rPr>
          <w:rFonts w:ascii="彩虹粗仿宋" w:eastAsia="彩虹粗仿宋" w:hint="eastAsia"/>
          <w:sz w:val="32"/>
          <w:szCs w:val="32"/>
        </w:rPr>
        <w:t>按照</w:t>
      </w:r>
      <w:r>
        <w:rPr>
          <w:rFonts w:ascii="彩虹粗仿宋" w:eastAsia="彩虹粗仿宋" w:hAnsi="Arial" w:cs="Arial" w:hint="eastAsia"/>
          <w:kern w:val="0"/>
          <w:sz w:val="32"/>
          <w:szCs w:val="32"/>
        </w:rPr>
        <w:t>“</w:t>
      </w:r>
      <w:r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综合性、多功能、集约化”的战略定位，在发展好银行主业的同时，加快发展保险、信托、投行、基金、租赁等非银行业务，努力</w:t>
      </w:r>
      <w:r>
        <w:rPr>
          <w:rFonts w:ascii="彩虹粗仿宋" w:eastAsia="彩虹粗仿宋" w:cs="仿宋_GB2312" w:hint="eastAsia"/>
          <w:kern w:val="0"/>
          <w:sz w:val="32"/>
          <w:szCs w:val="32"/>
        </w:rPr>
        <w:t>为客户提供全方位、多样化的金融服务，成为功能齐全、领先同业的综合金融服务提供商</w:t>
      </w:r>
      <w:r>
        <w:rPr>
          <w:rFonts w:ascii="彩虹粗仿宋" w:eastAsia="彩虹粗仿宋" w:hAnsi="宋体" w:hint="eastAsia"/>
          <w:sz w:val="32"/>
          <w:szCs w:val="32"/>
        </w:rPr>
        <w:t>。</w:t>
      </w:r>
    </w:p>
    <w:p w:rsidR="008A44FC" w:rsidRDefault="000B7569">
      <w:pPr>
        <w:ind w:firstLine="600"/>
        <w:rPr>
          <w:rFonts w:ascii="彩虹粗仿宋" w:eastAsia="彩虹粗仿宋" w:cs="仿宋_GB2312"/>
          <w:color w:val="000000"/>
          <w:kern w:val="0"/>
          <w:sz w:val="32"/>
          <w:szCs w:val="32"/>
        </w:rPr>
      </w:pPr>
      <w:r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随着建信期货挂牌成立，</w:t>
      </w:r>
      <w:r w:rsidRPr="00C223E5">
        <w:rPr>
          <w:rFonts w:ascii="彩虹粗仿宋" w:eastAsia="彩虹粗仿宋" w:hint="eastAsia"/>
          <w:sz w:val="32"/>
          <w:szCs w:val="32"/>
        </w:rPr>
        <w:t>建设银行</w:t>
      </w:r>
      <w:r w:rsidRPr="00C223E5"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已拥有基金、租赁、信托、人寿、期货</w:t>
      </w:r>
      <w:r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、投行以及</w:t>
      </w:r>
      <w:r w:rsidRPr="00C223E5"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专业化银行</w:t>
      </w:r>
      <w:r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等多个金融牌照</w:t>
      </w:r>
      <w:r w:rsidRPr="00C223E5"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，经营范围横跨境内、境外两个市场，</w:t>
      </w:r>
      <w:r w:rsidRPr="00C223E5">
        <w:rPr>
          <w:rFonts w:ascii="彩虹粗仿宋" w:eastAsia="彩虹粗仿宋" w:cs="仿宋_GB2312" w:hint="eastAsia"/>
          <w:bCs/>
          <w:color w:val="000000"/>
          <w:kern w:val="0"/>
          <w:sz w:val="32"/>
          <w:szCs w:val="32"/>
        </w:rPr>
        <w:t>牌照种类在银行同业中有一定先发优势，综合</w:t>
      </w:r>
      <w:r w:rsidRPr="00924DAA">
        <w:rPr>
          <w:rFonts w:ascii="彩虹粗仿宋" w:eastAsia="彩虹粗仿宋" w:cs="仿宋_GB2312" w:hint="eastAsia"/>
          <w:color w:val="000000"/>
          <w:kern w:val="0"/>
          <w:sz w:val="32"/>
          <w:szCs w:val="32"/>
        </w:rPr>
        <w:t>化经营平台已初步搭建，综合化金融功能已基本健全。</w:t>
      </w:r>
    </w:p>
    <w:p w:rsidR="008A44FC" w:rsidRDefault="008A44FC">
      <w:pPr>
        <w:ind w:firstLine="600"/>
        <w:rPr>
          <w:rFonts w:ascii="彩虹粗仿宋" w:eastAsia="彩虹粗仿宋" w:cs="仿宋_GB2312"/>
          <w:color w:val="000000"/>
          <w:kern w:val="0"/>
          <w:sz w:val="32"/>
          <w:szCs w:val="32"/>
        </w:rPr>
      </w:pPr>
    </w:p>
    <w:sectPr w:rsidR="008A4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2B6" w:rsidRDefault="007202B6" w:rsidP="000B7569">
      <w:r>
        <w:separator/>
      </w:r>
    </w:p>
  </w:endnote>
  <w:endnote w:type="continuationSeparator" w:id="0">
    <w:p w:rsidR="007202B6" w:rsidRDefault="007202B6" w:rsidP="000B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2B6" w:rsidRDefault="007202B6" w:rsidP="000B7569">
      <w:r>
        <w:separator/>
      </w:r>
    </w:p>
  </w:footnote>
  <w:footnote w:type="continuationSeparator" w:id="0">
    <w:p w:rsidR="007202B6" w:rsidRDefault="007202B6" w:rsidP="000B7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FC"/>
    <w:rsid w:val="000B7569"/>
    <w:rsid w:val="005A71E6"/>
    <w:rsid w:val="0063656A"/>
    <w:rsid w:val="007202B6"/>
    <w:rsid w:val="008A44FC"/>
    <w:rsid w:val="009522C8"/>
    <w:rsid w:val="009F22F2"/>
    <w:rsid w:val="00D4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/>
    <w:lsdException w:name="footer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customStyle="1" w:styleId="Char0">
    <w:name w:val="页眉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/>
    <w:lsdException w:name="footer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customStyle="1" w:styleId="Char0">
    <w:name w:val="页眉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108</Words>
  <Characters>618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建信期货有限责任公司在上海揭牌</dc:title>
  <dc:creator>hp</dc:creator>
  <cp:lastModifiedBy>李雅琼</cp:lastModifiedBy>
  <cp:revision>5</cp:revision>
  <cp:lastPrinted>2014-09-02T05:43:00Z</cp:lastPrinted>
  <dcterms:created xsi:type="dcterms:W3CDTF">2014-09-02T06:31:00Z</dcterms:created>
  <dcterms:modified xsi:type="dcterms:W3CDTF">2014-09-04T01:31:00Z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