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FB" w:rsidRPr="00617162" w:rsidRDefault="00303AFB">
      <w:pPr>
        <w:adjustRightInd w:val="0"/>
        <w:snapToGrid w:val="0"/>
        <w:jc w:val="left"/>
        <w:rPr>
          <w:rFonts w:eastAsia="彩虹小标宋"/>
          <w:b/>
          <w:bCs/>
          <w:sz w:val="28"/>
          <w:szCs w:val="28"/>
        </w:rPr>
      </w:pPr>
      <w:r w:rsidRPr="00617162">
        <w:rPr>
          <w:rFonts w:eastAsia="彩虹小标宋"/>
          <w:b/>
          <w:bCs/>
          <w:sz w:val="28"/>
          <w:szCs w:val="28"/>
        </w:rPr>
        <w:t>[</w:t>
      </w:r>
      <w:r w:rsidRPr="00617162">
        <w:rPr>
          <w:rFonts w:eastAsia="彩虹小标宋" w:cs="彩虹小标宋" w:hint="eastAsia"/>
          <w:b/>
          <w:bCs/>
          <w:sz w:val="28"/>
          <w:szCs w:val="28"/>
        </w:rPr>
        <w:t>新闻稿</w:t>
      </w:r>
      <w:r w:rsidRPr="00617162">
        <w:rPr>
          <w:rFonts w:eastAsia="彩虹小标宋"/>
          <w:b/>
          <w:bCs/>
          <w:sz w:val="28"/>
          <w:szCs w:val="28"/>
        </w:rPr>
        <w:t>]</w:t>
      </w:r>
    </w:p>
    <w:p w:rsidR="00303AFB" w:rsidRPr="00617162" w:rsidRDefault="00303AFB">
      <w:pPr>
        <w:adjustRightInd w:val="0"/>
        <w:snapToGrid w:val="0"/>
        <w:jc w:val="left"/>
        <w:rPr>
          <w:rFonts w:eastAsia="彩虹小标宋" w:cs="Times New Roman"/>
          <w:sz w:val="28"/>
          <w:szCs w:val="28"/>
        </w:rPr>
      </w:pPr>
      <w:r w:rsidRPr="00617162">
        <w:rPr>
          <w:rFonts w:eastAsia="彩虹小标宋" w:cs="彩虹小标宋" w:hint="eastAsia"/>
          <w:sz w:val="28"/>
          <w:szCs w:val="28"/>
        </w:rPr>
        <w:t>即时发布</w:t>
      </w:r>
    </w:p>
    <w:p w:rsidR="00001198" w:rsidRPr="00617162" w:rsidRDefault="00001198" w:rsidP="00001198">
      <w:pPr>
        <w:widowControl/>
        <w:spacing w:beforeLines="50" w:before="156" w:afterLines="50" w:after="156" w:line="360" w:lineRule="auto"/>
        <w:jc w:val="center"/>
        <w:rPr>
          <w:rFonts w:ascii="彩虹小标宋" w:eastAsia="彩虹小标宋" w:hAnsi="Times New Roman" w:cs="彩虹小标宋"/>
          <w:b/>
          <w:bCs/>
          <w:kern w:val="0"/>
          <w:sz w:val="44"/>
          <w:szCs w:val="44"/>
        </w:rPr>
      </w:pPr>
      <w:r w:rsidRPr="00617162">
        <w:rPr>
          <w:rFonts w:ascii="彩虹小标宋" w:eastAsia="彩虹小标宋" w:hAnsi="Times New Roman" w:cs="彩虹小标宋" w:hint="eastAsia"/>
          <w:b/>
          <w:bCs/>
          <w:kern w:val="0"/>
          <w:sz w:val="44"/>
          <w:szCs w:val="44"/>
        </w:rPr>
        <w:t>中国建设银行2015年业务开局良好</w:t>
      </w:r>
    </w:p>
    <w:p w:rsidR="00001198" w:rsidRPr="00617162" w:rsidRDefault="00001198" w:rsidP="00001198">
      <w:pPr>
        <w:widowControl/>
        <w:spacing w:beforeLines="50" w:before="156" w:afterLines="50" w:after="156" w:line="360" w:lineRule="auto"/>
        <w:jc w:val="center"/>
        <w:rPr>
          <w:rFonts w:ascii="彩虹小标宋" w:eastAsia="彩虹小标宋" w:hAnsi="Times New Roman" w:cs="彩虹小标宋"/>
          <w:b/>
          <w:bCs/>
          <w:kern w:val="0"/>
          <w:sz w:val="44"/>
          <w:szCs w:val="44"/>
        </w:rPr>
      </w:pPr>
      <w:r w:rsidRPr="00617162">
        <w:rPr>
          <w:rFonts w:ascii="彩虹小标宋" w:eastAsia="彩虹小标宋" w:hAnsi="Times New Roman" w:cs="彩虹小标宋" w:hint="eastAsia"/>
          <w:b/>
          <w:bCs/>
          <w:kern w:val="0"/>
          <w:sz w:val="44"/>
          <w:szCs w:val="44"/>
        </w:rPr>
        <w:t>资产总额超17万亿 核心指标表现稳健</w:t>
      </w:r>
    </w:p>
    <w:p w:rsidR="00303AFB" w:rsidRPr="00617162" w:rsidRDefault="00303AFB">
      <w:pPr>
        <w:pStyle w:val="ListParagraph1"/>
        <w:adjustRightInd w:val="0"/>
        <w:snapToGrid w:val="0"/>
        <w:spacing w:line="560" w:lineRule="exact"/>
        <w:ind w:left="360"/>
        <w:rPr>
          <w:rFonts w:ascii="彩虹粗仿宋" w:eastAsia="彩虹粗仿宋" w:cs="Times New Roman"/>
          <w:b/>
          <w:bCs/>
          <w:sz w:val="32"/>
          <w:szCs w:val="32"/>
        </w:rPr>
      </w:pPr>
    </w:p>
    <w:p w:rsidR="00001198" w:rsidRPr="00617162" w:rsidRDefault="00001198" w:rsidP="00001198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  <w:lang w:val="en-GB"/>
        </w:rPr>
      </w:pPr>
      <w:r w:rsidRPr="00617162">
        <w:rPr>
          <w:rFonts w:ascii="彩虹粗仿宋" w:eastAsia="彩虹粗仿宋" w:hAnsi="宋体" w:cs="Times New Roman"/>
          <w:sz w:val="32"/>
          <w:szCs w:val="32"/>
        </w:rPr>
        <w:t>201</w:t>
      </w:r>
      <w:r w:rsidRPr="00617162">
        <w:rPr>
          <w:rFonts w:ascii="彩虹粗仿宋" w:eastAsia="彩虹粗仿宋" w:hAnsi="宋体" w:cs="Times New Roman" w:hint="eastAsia"/>
          <w:sz w:val="32"/>
          <w:szCs w:val="32"/>
        </w:rPr>
        <w:t>5年4月</w:t>
      </w:r>
      <w:r w:rsidR="00617162" w:rsidRPr="00617162">
        <w:rPr>
          <w:rFonts w:ascii="彩虹粗仿宋" w:eastAsia="彩虹粗仿宋" w:hAnsi="宋体" w:cs="Times New Roman" w:hint="eastAsia"/>
          <w:sz w:val="32"/>
          <w:szCs w:val="32"/>
        </w:rPr>
        <w:t>29</w:t>
      </w:r>
      <w:r w:rsidRPr="00617162">
        <w:rPr>
          <w:rFonts w:ascii="彩虹粗仿宋" w:eastAsia="彩虹粗仿宋" w:hAnsi="宋体" w:cs="Times New Roman" w:hint="eastAsia"/>
          <w:sz w:val="32"/>
          <w:szCs w:val="32"/>
        </w:rPr>
        <w:t>日，中国建设银行股份有限公司（股票代码SH:601939；HK:939）公布了2015年第一季度的经营业绩（以下数据均</w:t>
      </w:r>
      <w:bookmarkStart w:id="0" w:name="_GoBack"/>
      <w:bookmarkEnd w:id="0"/>
      <w:r w:rsidRPr="00617162">
        <w:rPr>
          <w:rFonts w:ascii="彩虹粗仿宋" w:eastAsia="彩虹粗仿宋" w:hAnsi="宋体" w:cs="Times New Roman" w:hint="eastAsia"/>
          <w:sz w:val="32"/>
          <w:szCs w:val="32"/>
        </w:rPr>
        <w:t>按国际财务报告准则计算，为集团数据，币种为人民币）。</w:t>
      </w:r>
      <w:r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截至2015年3月31日，建设银行资产总额174,759.00亿元，较上年末增加7,317.70亿元，增长4.37%</w:t>
      </w:r>
      <w:r w:rsidR="000C702D"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。</w:t>
      </w:r>
    </w:p>
    <w:p w:rsidR="00001198" w:rsidRPr="00617162" w:rsidRDefault="00001198" w:rsidP="00001198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  <w:lang w:val="en-GB"/>
        </w:rPr>
      </w:pPr>
      <w:r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2015年以来，建设银行积极应对宏观形势变化，各项核心指标表现稳健。</w:t>
      </w:r>
      <w:r w:rsidRPr="00617162">
        <w:rPr>
          <w:rFonts w:ascii="彩虹粗仿宋" w:eastAsia="彩虹粗仿宋" w:hAnsi="宋体" w:cs="Times New Roman" w:hint="eastAsia"/>
          <w:sz w:val="32"/>
          <w:szCs w:val="32"/>
        </w:rPr>
        <w:t>一季度建设银行实现净利润</w:t>
      </w:r>
      <w:r w:rsidRPr="00617162">
        <w:rPr>
          <w:rFonts w:ascii="彩虹粗仿宋" w:eastAsia="彩虹粗仿宋" w:hAnsi="宋体" w:cs="Times New Roman"/>
          <w:sz w:val="32"/>
          <w:szCs w:val="32"/>
        </w:rPr>
        <w:t>671</w:t>
      </w:r>
      <w:r w:rsidRPr="00617162">
        <w:rPr>
          <w:rFonts w:ascii="彩虹粗仿宋" w:eastAsia="彩虹粗仿宋" w:hAnsi="宋体" w:cs="Times New Roman" w:hint="eastAsia"/>
          <w:sz w:val="32"/>
          <w:szCs w:val="32"/>
        </w:rPr>
        <w:t>.</w:t>
      </w:r>
      <w:r w:rsidRPr="00617162">
        <w:rPr>
          <w:rFonts w:ascii="彩虹粗仿宋" w:eastAsia="彩虹粗仿宋" w:hAnsi="宋体" w:cs="Times New Roman"/>
          <w:sz w:val="32"/>
          <w:szCs w:val="32"/>
        </w:rPr>
        <w:t>29</w:t>
      </w:r>
      <w:r w:rsidRPr="00617162">
        <w:rPr>
          <w:rFonts w:ascii="彩虹粗仿宋" w:eastAsia="彩虹粗仿宋" w:hAnsi="宋体" w:cs="Times New Roman" w:hint="eastAsia"/>
          <w:sz w:val="32"/>
          <w:szCs w:val="32"/>
        </w:rPr>
        <w:t>亿元，较上年同期增长</w:t>
      </w:r>
      <w:r w:rsidRPr="00617162">
        <w:rPr>
          <w:rFonts w:ascii="彩虹粗仿宋" w:eastAsia="彩虹粗仿宋" w:hAnsi="宋体" w:cs="Times New Roman"/>
          <w:sz w:val="32"/>
          <w:szCs w:val="32"/>
        </w:rPr>
        <w:t>1.83</w:t>
      </w:r>
      <w:r w:rsidRPr="00617162">
        <w:rPr>
          <w:rFonts w:ascii="彩虹粗仿宋" w:eastAsia="彩虹粗仿宋" w:hAnsi="宋体" w:cs="Times New Roman" w:hint="eastAsia"/>
          <w:sz w:val="32"/>
          <w:szCs w:val="32"/>
        </w:rPr>
        <w:t>%;年化平均资产回报率、年化平均股东权益回报率分别为1.57%和21.03%</w:t>
      </w:r>
      <w:r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。</w:t>
      </w:r>
    </w:p>
    <w:p w:rsidR="00001198" w:rsidRPr="00617162" w:rsidRDefault="00001198" w:rsidP="00001198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  <w:lang w:val="en-GB"/>
        </w:rPr>
      </w:pPr>
      <w:r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截至2015年3月31日，建设银行客户贷款和垫款总额98,122.11亿元，较上年末增加3,376.88亿元，增长3.56%；客户存款136,664.92 亿元，较上年末增加7,678.17 亿元，增长5.95%；存贷比率保持在71.80%的合理水平。</w:t>
      </w:r>
    </w:p>
    <w:p w:rsidR="00001198" w:rsidRPr="00617162" w:rsidRDefault="00001198" w:rsidP="00001198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  <w:lang w:val="en-GB"/>
        </w:rPr>
      </w:pPr>
      <w:r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在存贷款业务稳定增长的同时，建设银行一季度手续费及佣金净收入339.28亿元，较上年同期增长5.63%。其中，代销基金、代理保险实现较快增长；传统优势业务房改金融保持稳健增长；理财产品、信用卡等产品亦表现良好。</w:t>
      </w:r>
    </w:p>
    <w:p w:rsidR="00001198" w:rsidRPr="00617162" w:rsidRDefault="00001198" w:rsidP="00001198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  <w:lang w:val="en-GB"/>
        </w:rPr>
      </w:pPr>
      <w:r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在资产质量方面，建设银行继续加强集团信贷风险统一</w:t>
      </w:r>
      <w:r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lastRenderedPageBreak/>
        <w:t>管控，继续优化信贷结构，深入推进风险管理工作转型创新，信贷资产质量总体保持稳定。截至2015年3月31日，建设银行不良贷款率1.30%，较上年末上升0.11%；拨备覆盖率为207.23%。</w:t>
      </w:r>
    </w:p>
    <w:p w:rsidR="00001198" w:rsidRPr="00617162" w:rsidRDefault="00001198" w:rsidP="00001198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  <w:lang w:val="en-GB"/>
        </w:rPr>
      </w:pPr>
      <w:r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季报显示，建设银行依据中国银行业监督管理委员会2012年6月颁布的《商业银行资本管理办法（试行）》计量资本充足率，并自2014年4月开始实施资本管理高级方法。截至2015年3月31日，考虑并行期规则后，建设银行资本充足率14.9</w:t>
      </w:r>
      <w:r w:rsidR="00E23757"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7</w:t>
      </w:r>
      <w:r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%，一级资本充足率12.5</w:t>
      </w:r>
      <w:r w:rsidR="00E23757"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1</w:t>
      </w:r>
      <w:r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%，核心一级资本充足率12.5</w:t>
      </w:r>
      <w:r w:rsidR="00E23757"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1</w:t>
      </w:r>
      <w:r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%，满足监管要求。建设银行依据中国银行业监督管理委员会2015年1月颁布的《商业银行杠杆率管理办法（修订）》计量杠杆率，对表外项目的计量方法进行了调整，截至2015年3月31日，建设银行杠杆率6.88%，符合监管要求。</w:t>
      </w:r>
    </w:p>
    <w:p w:rsidR="00001198" w:rsidRPr="00617162" w:rsidRDefault="00001198" w:rsidP="00001198">
      <w:pPr>
        <w:spacing w:line="560" w:lineRule="exact"/>
        <w:ind w:firstLineChars="200" w:firstLine="640"/>
        <w:rPr>
          <w:rFonts w:ascii="彩虹粗仿宋" w:eastAsia="彩虹粗仿宋" w:hAnsi="宋体" w:cs="Times New Roman"/>
          <w:sz w:val="32"/>
          <w:szCs w:val="32"/>
          <w:lang w:val="en-GB"/>
        </w:rPr>
      </w:pPr>
      <w:r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从总体上看，建设银行一季度主要业务指标表现良好，为全年稳健经营和战略转型持续推进奠定了坚实基础。在宏观经济面临下行压力的情况下，建设银行具有前瞻性地积极应对形势变化，</w:t>
      </w:r>
      <w:r w:rsidR="007D0E72"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以转型稳定发展，以转型促进风控，各项业务走势平稳。</w:t>
      </w:r>
      <w:r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整体风险控制在可控范围内，流动性储备充分。</w:t>
      </w:r>
      <w:r w:rsidR="007D0E72"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特别是</w:t>
      </w:r>
      <w:r w:rsidRPr="00617162">
        <w:rPr>
          <w:rFonts w:ascii="彩虹粗仿宋" w:eastAsia="彩虹粗仿宋" w:hAnsi="宋体" w:cs="Times New Roman" w:hint="eastAsia"/>
          <w:sz w:val="32"/>
          <w:szCs w:val="32"/>
          <w:lang w:val="en-GB"/>
        </w:rPr>
        <w:t>，建设银行在战略转型重点业务上持续发力，养老金、私人银行等业务稳步发展，海外业务取得积极进展，子公司经营情况良好。</w:t>
      </w:r>
    </w:p>
    <w:p w:rsidR="00303AFB" w:rsidRPr="00617162" w:rsidRDefault="00001198" w:rsidP="00001198">
      <w:pPr>
        <w:adjustRightInd w:val="0"/>
        <w:snapToGrid w:val="0"/>
        <w:spacing w:line="560" w:lineRule="exact"/>
        <w:jc w:val="center"/>
        <w:rPr>
          <w:rFonts w:eastAsia="彩虹粗仿宋" w:cs="Times New Roman"/>
          <w:b/>
          <w:bCs/>
          <w:sz w:val="28"/>
          <w:szCs w:val="28"/>
        </w:rPr>
      </w:pPr>
      <w:r w:rsidRPr="00617162">
        <w:rPr>
          <w:rFonts w:ascii="彩虹粗仿宋" w:eastAsia="彩虹粗仿宋" w:cs="Times New Roman" w:hint="eastAsia"/>
          <w:b/>
          <w:bCs/>
          <w:sz w:val="28"/>
          <w:szCs w:val="28"/>
        </w:rPr>
        <w:t>-完</w:t>
      </w:r>
      <w:r w:rsidRPr="00617162">
        <w:rPr>
          <w:rFonts w:eastAsia="彩虹粗仿宋" w:cs="Times New Roman"/>
          <w:b/>
          <w:bCs/>
          <w:sz w:val="28"/>
          <w:szCs w:val="28"/>
        </w:rPr>
        <w:t>-</w:t>
      </w:r>
    </w:p>
    <w:p w:rsidR="00945C33" w:rsidRPr="00617162" w:rsidRDefault="00945C33">
      <w:pPr>
        <w:adjustRightInd w:val="0"/>
        <w:snapToGrid w:val="0"/>
        <w:spacing w:line="560" w:lineRule="exact"/>
        <w:rPr>
          <w:rFonts w:ascii="彩虹粗仿宋" w:eastAsia="彩虹粗仿宋" w:cs="Times New Roman"/>
          <w:b/>
          <w:bCs/>
          <w:sz w:val="28"/>
          <w:szCs w:val="28"/>
        </w:rPr>
      </w:pPr>
    </w:p>
    <w:p w:rsidR="00303AFB" w:rsidRPr="00617162" w:rsidRDefault="00303AFB">
      <w:pPr>
        <w:adjustRightInd w:val="0"/>
        <w:snapToGrid w:val="0"/>
        <w:spacing w:line="560" w:lineRule="exact"/>
        <w:rPr>
          <w:rFonts w:ascii="彩虹粗仿宋" w:eastAsia="彩虹粗仿宋" w:cs="Times New Roman"/>
          <w:b/>
          <w:bCs/>
          <w:sz w:val="28"/>
          <w:szCs w:val="28"/>
        </w:rPr>
      </w:pPr>
      <w:r w:rsidRPr="00617162">
        <w:rPr>
          <w:rFonts w:ascii="彩虹粗仿宋" w:eastAsia="彩虹粗仿宋" w:cs="彩虹粗仿宋" w:hint="eastAsia"/>
          <w:b/>
          <w:bCs/>
          <w:sz w:val="28"/>
          <w:szCs w:val="28"/>
        </w:rPr>
        <w:t>关于中国建设银行</w:t>
      </w:r>
    </w:p>
    <w:p w:rsidR="00992E4D" w:rsidRPr="00E021F1" w:rsidRDefault="00992E4D" w:rsidP="00992E4D">
      <w:pPr>
        <w:adjustRightInd w:val="0"/>
        <w:snapToGrid w:val="0"/>
        <w:spacing w:line="560" w:lineRule="exact"/>
        <w:ind w:firstLineChars="200" w:firstLine="560"/>
        <w:rPr>
          <w:rFonts w:ascii="彩虹粗仿宋" w:eastAsia="彩虹粗仿宋" w:cs="彩虹粗仿宋"/>
          <w:sz w:val="28"/>
          <w:szCs w:val="28"/>
        </w:rPr>
      </w:pPr>
      <w:r w:rsidRPr="00617162">
        <w:rPr>
          <w:rFonts w:ascii="彩虹粗仿宋" w:eastAsia="彩虹粗仿宋" w:cs="彩虹粗仿宋" w:hint="eastAsia"/>
          <w:sz w:val="28"/>
          <w:szCs w:val="28"/>
        </w:rPr>
        <w:t>中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国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建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设银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行成立于</w:t>
      </w:r>
      <w:r w:rsidRPr="00617162">
        <w:rPr>
          <w:rFonts w:ascii="彩虹粗仿宋" w:eastAsia="彩虹粗仿宋" w:cs="彩虹粗仿宋" w:hint="eastAsia"/>
          <w:sz w:val="28"/>
          <w:szCs w:val="28"/>
        </w:rPr>
        <w:t>1954年10月，是一家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国内领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先、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国际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知名的大型股份制商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业银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行，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总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部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设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在北京。于</w:t>
      </w:r>
      <w:r w:rsidRPr="00617162">
        <w:rPr>
          <w:rFonts w:ascii="彩虹粗仿宋" w:eastAsia="彩虹粗仿宋" w:cs="彩虹粗仿宋" w:hint="eastAsia"/>
          <w:sz w:val="28"/>
          <w:szCs w:val="28"/>
        </w:rPr>
        <w:t>2005年10月在香港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联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合交易所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挂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牌上市（</w:t>
      </w:r>
      <w:bookmarkStart w:id="1" w:name="OLE_LINK3"/>
      <w:bookmarkStart w:id="2" w:name="OLE_LINK4"/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股票代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码</w:t>
      </w:r>
      <w:r w:rsidRPr="00617162">
        <w:rPr>
          <w:rFonts w:ascii="彩虹粗仿宋" w:eastAsia="彩虹粗仿宋" w:cs="彩虹粗仿宋" w:hint="eastAsia"/>
          <w:sz w:val="28"/>
          <w:szCs w:val="28"/>
        </w:rPr>
        <w:t>939</w:t>
      </w:r>
      <w:bookmarkEnd w:id="1"/>
      <w:bookmarkEnd w:id="2"/>
      <w:r w:rsidRPr="00617162">
        <w:rPr>
          <w:rFonts w:ascii="彩虹粗仿宋" w:eastAsia="彩虹粗仿宋" w:cs="彩虹粗仿宋" w:hint="eastAsia"/>
          <w:sz w:val="28"/>
          <w:szCs w:val="28"/>
        </w:rPr>
        <w:t>），于2007年9月在上海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证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券交易所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挂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牌上市（股票代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码</w:t>
      </w:r>
      <w:r w:rsidRPr="00617162">
        <w:rPr>
          <w:rFonts w:ascii="彩虹粗仿宋" w:eastAsia="彩虹粗仿宋" w:cs="彩虹粗仿宋" w:hint="eastAsia"/>
          <w:sz w:val="28"/>
          <w:szCs w:val="28"/>
        </w:rPr>
        <w:t>601939）。于2014年末，建设银行市值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约为</w:t>
      </w:r>
      <w:r w:rsidRPr="00617162">
        <w:rPr>
          <w:rFonts w:ascii="彩虹粗仿宋" w:eastAsia="彩虹粗仿宋" w:cs="彩虹粗仿宋" w:hint="eastAsia"/>
          <w:sz w:val="28"/>
          <w:szCs w:val="28"/>
        </w:rPr>
        <w:t>2,079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亿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美元，居全球上市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银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行第四位。</w:t>
      </w:r>
      <w:r w:rsidRPr="00617162">
        <w:rPr>
          <w:rFonts w:ascii="彩虹粗仿宋" w:eastAsia="彩虹粗仿宋" w:cs="彩虹粗仿宋" w:hint="eastAsia"/>
          <w:sz w:val="28"/>
          <w:szCs w:val="28"/>
        </w:rPr>
        <w:t>建设银行在中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国内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地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设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有分支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机构</w:t>
      </w:r>
      <w:r w:rsidRPr="00617162">
        <w:rPr>
          <w:rFonts w:ascii="彩虹粗仿宋" w:eastAsia="彩虹粗仿宋" w:cs="彩虹粗仿宋" w:hint="eastAsia"/>
          <w:sz w:val="28"/>
          <w:szCs w:val="28"/>
        </w:rPr>
        <w:t>14,856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个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，服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务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于</w:t>
      </w:r>
      <w:r w:rsidRPr="00617162">
        <w:rPr>
          <w:rFonts w:ascii="彩虹粗仿宋" w:eastAsia="彩虹粗仿宋" w:cs="彩虹粗仿宋" w:hint="eastAsia"/>
          <w:sz w:val="28"/>
          <w:szCs w:val="28"/>
        </w:rPr>
        <w:t>348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万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公司客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户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、</w:t>
      </w:r>
      <w:r w:rsidRPr="00617162">
        <w:rPr>
          <w:rFonts w:ascii="彩虹粗仿宋" w:eastAsia="彩虹粗仿宋" w:cs="彩虹粗仿宋" w:hint="eastAsia"/>
          <w:sz w:val="28"/>
          <w:szCs w:val="28"/>
        </w:rPr>
        <w:t>3.14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亿个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人客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户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，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与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中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国经济战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略性行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业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的主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导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企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业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和大量高端客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户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保持密切合作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关系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；在香港、澳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门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、新加坡、法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兰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克福、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约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翰内斯堡、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东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京、大阪、首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尔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、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纽约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、胡志明市、悉尼、墨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尔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本、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台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北、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卢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森堡、布里斯班、多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伦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多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设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有海外分行，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拥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有建行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亚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洲、建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银国际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、建行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伦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敦、建行俄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罗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斯、建行迪拜、建行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欧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洲、建行新西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兰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、建信基金、建信租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赁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、建信信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托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、建信人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寿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、建信期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货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、中德住房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储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蓄</w:t>
      </w:r>
      <w:r w:rsidRPr="00617162">
        <w:rPr>
          <w:rFonts w:ascii="彩虹粗仿宋" w:eastAsia="彩虹粗仿宋" w:hAnsi="宋体" w:cs="宋体" w:hint="eastAsia"/>
          <w:sz w:val="28"/>
          <w:szCs w:val="28"/>
        </w:rPr>
        <w:t>银</w:t>
      </w:r>
      <w:r w:rsidRPr="00617162">
        <w:rPr>
          <w:rFonts w:ascii="彩虹粗仿宋" w:eastAsia="彩虹粗仿宋" w:hAnsi="彩虹粗仿宋" w:cs="彩虹粗仿宋" w:hint="eastAsia"/>
          <w:sz w:val="28"/>
          <w:szCs w:val="28"/>
        </w:rPr>
        <w:t>行等多家子公司。</w:t>
      </w:r>
    </w:p>
    <w:p w:rsidR="00303AFB" w:rsidRPr="00992E4D" w:rsidRDefault="00303AFB">
      <w:pPr>
        <w:adjustRightInd w:val="0"/>
        <w:snapToGrid w:val="0"/>
        <w:spacing w:line="560" w:lineRule="exact"/>
        <w:rPr>
          <w:rFonts w:ascii="彩虹粗仿宋" w:eastAsia="彩虹粗仿宋" w:cs="Times New Roman"/>
          <w:sz w:val="28"/>
          <w:szCs w:val="28"/>
        </w:rPr>
      </w:pPr>
    </w:p>
    <w:p w:rsidR="00303AFB" w:rsidRDefault="00303AFB">
      <w:pPr>
        <w:adjustRightInd w:val="0"/>
        <w:snapToGrid w:val="0"/>
        <w:spacing w:line="560" w:lineRule="exact"/>
        <w:rPr>
          <w:rFonts w:ascii="彩虹粗仿宋" w:eastAsia="彩虹粗仿宋" w:cs="Times New Roman"/>
          <w:sz w:val="28"/>
          <w:szCs w:val="28"/>
        </w:rPr>
      </w:pPr>
    </w:p>
    <w:sectPr w:rsidR="00303AFB" w:rsidSect="00B1588A">
      <w:headerReference w:type="default" r:id="rId8"/>
      <w:footerReference w:type="default" r:id="rId9"/>
      <w:pgSz w:w="11906" w:h="16838"/>
      <w:pgMar w:top="863" w:right="1800" w:bottom="1440" w:left="1800" w:header="794" w:footer="96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9E" w:rsidRDefault="0015259E" w:rsidP="00B1588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5259E" w:rsidRDefault="0015259E" w:rsidP="00B1588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AFB" w:rsidRDefault="00D75D9C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617162">
      <w:rPr>
        <w:noProof/>
      </w:rPr>
      <w:t>2</w:t>
    </w:r>
    <w:r>
      <w:rPr>
        <w:noProof/>
      </w:rPr>
      <w:fldChar w:fldCharType="end"/>
    </w:r>
  </w:p>
  <w:p w:rsidR="00303AFB" w:rsidRDefault="00303AFB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9E" w:rsidRDefault="0015259E" w:rsidP="00B1588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5259E" w:rsidRDefault="0015259E" w:rsidP="00B1588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AFB" w:rsidRDefault="00791F32" w:rsidP="006241D5">
    <w:pPr>
      <w:pStyle w:val="a7"/>
      <w:pBdr>
        <w:bottom w:val="none" w:sz="0" w:space="0" w:color="auto"/>
      </w:pBdr>
      <w:ind w:left="-270"/>
      <w:jc w:val="right"/>
      <w:rPr>
        <w:rFonts w:cs="Times New Roman"/>
      </w:rPr>
    </w:pPr>
    <w:r>
      <w:rPr>
        <w:rFonts w:cs="Times New Roman"/>
        <w:noProof/>
      </w:rPr>
      <w:drawing>
        <wp:inline distT="0" distB="0" distL="0" distR="0" wp14:anchorId="7651C825" wp14:editId="3A783824">
          <wp:extent cx="2324100" cy="790575"/>
          <wp:effectExtent l="0" t="0" r="0" b="9525"/>
          <wp:docPr id="2" name="图片框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59" b="34827"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517C2"/>
    <w:multiLevelType w:val="multilevel"/>
    <w:tmpl w:val="5E151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8A"/>
    <w:rsid w:val="00001198"/>
    <w:rsid w:val="00030ACC"/>
    <w:rsid w:val="000564B8"/>
    <w:rsid w:val="00091ADC"/>
    <w:rsid w:val="00093178"/>
    <w:rsid w:val="000A7268"/>
    <w:rsid w:val="000C702D"/>
    <w:rsid w:val="000E15F4"/>
    <w:rsid w:val="000F72E0"/>
    <w:rsid w:val="00142875"/>
    <w:rsid w:val="0015259E"/>
    <w:rsid w:val="0022470F"/>
    <w:rsid w:val="00241CF4"/>
    <w:rsid w:val="002D65CA"/>
    <w:rsid w:val="00303AFB"/>
    <w:rsid w:val="00332215"/>
    <w:rsid w:val="003740CF"/>
    <w:rsid w:val="003A1AD6"/>
    <w:rsid w:val="003A2CE2"/>
    <w:rsid w:val="003C471F"/>
    <w:rsid w:val="003F3D9B"/>
    <w:rsid w:val="003F6F75"/>
    <w:rsid w:val="004B1AE3"/>
    <w:rsid w:val="004F5345"/>
    <w:rsid w:val="00535252"/>
    <w:rsid w:val="005478B5"/>
    <w:rsid w:val="005C27D0"/>
    <w:rsid w:val="00617162"/>
    <w:rsid w:val="006241D5"/>
    <w:rsid w:val="00642393"/>
    <w:rsid w:val="00643C57"/>
    <w:rsid w:val="00693D5E"/>
    <w:rsid w:val="006D61AC"/>
    <w:rsid w:val="006E71B9"/>
    <w:rsid w:val="006F339D"/>
    <w:rsid w:val="00791F32"/>
    <w:rsid w:val="007A0A18"/>
    <w:rsid w:val="007D0E72"/>
    <w:rsid w:val="008B60B8"/>
    <w:rsid w:val="008F3AC7"/>
    <w:rsid w:val="008F4BF0"/>
    <w:rsid w:val="00927A27"/>
    <w:rsid w:val="00945C33"/>
    <w:rsid w:val="009612A5"/>
    <w:rsid w:val="0098730C"/>
    <w:rsid w:val="00992E4D"/>
    <w:rsid w:val="0099761C"/>
    <w:rsid w:val="009F396B"/>
    <w:rsid w:val="009F3E72"/>
    <w:rsid w:val="00A25353"/>
    <w:rsid w:val="00AE4196"/>
    <w:rsid w:val="00B1588A"/>
    <w:rsid w:val="00B21885"/>
    <w:rsid w:val="00B43374"/>
    <w:rsid w:val="00BB10FE"/>
    <w:rsid w:val="00BB7D9F"/>
    <w:rsid w:val="00BC2DEF"/>
    <w:rsid w:val="00C63421"/>
    <w:rsid w:val="00C840F8"/>
    <w:rsid w:val="00CC6024"/>
    <w:rsid w:val="00D75D9C"/>
    <w:rsid w:val="00DC2B25"/>
    <w:rsid w:val="00DE2F53"/>
    <w:rsid w:val="00DF44ED"/>
    <w:rsid w:val="00E23757"/>
    <w:rsid w:val="00EA79CA"/>
    <w:rsid w:val="00F138B9"/>
    <w:rsid w:val="00F91699"/>
    <w:rsid w:val="00F921A2"/>
    <w:rsid w:val="00F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588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B1588A"/>
    <w:rPr>
      <w:sz w:val="20"/>
      <w:szCs w:val="20"/>
    </w:rPr>
  </w:style>
  <w:style w:type="character" w:customStyle="1" w:styleId="Char">
    <w:name w:val="批注文字 Char"/>
    <w:link w:val="a3"/>
    <w:uiPriority w:val="99"/>
    <w:semiHidden/>
    <w:locked/>
    <w:rsid w:val="00B1588A"/>
    <w:rPr>
      <w:sz w:val="20"/>
      <w:szCs w:val="20"/>
    </w:rPr>
  </w:style>
  <w:style w:type="paragraph" w:styleId="a4">
    <w:name w:val="annotation subject"/>
    <w:basedOn w:val="a3"/>
    <w:next w:val="a3"/>
    <w:link w:val="Char0"/>
    <w:uiPriority w:val="99"/>
    <w:semiHidden/>
    <w:rsid w:val="00B1588A"/>
    <w:rPr>
      <w:b/>
      <w:bCs/>
    </w:rPr>
  </w:style>
  <w:style w:type="character" w:customStyle="1" w:styleId="Char0">
    <w:name w:val="批注主题 Char"/>
    <w:link w:val="a4"/>
    <w:uiPriority w:val="99"/>
    <w:semiHidden/>
    <w:locked/>
    <w:rsid w:val="00B1588A"/>
    <w:rPr>
      <w:b/>
      <w:bCs/>
      <w:sz w:val="20"/>
      <w:szCs w:val="20"/>
    </w:rPr>
  </w:style>
  <w:style w:type="paragraph" w:styleId="a5">
    <w:name w:val="Balloon Text"/>
    <w:basedOn w:val="a"/>
    <w:link w:val="Char1"/>
    <w:uiPriority w:val="99"/>
    <w:semiHidden/>
    <w:rsid w:val="00B1588A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5"/>
    <w:uiPriority w:val="99"/>
    <w:semiHidden/>
    <w:locked/>
    <w:rsid w:val="00B1588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rsid w:val="00B15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B1588A"/>
    <w:rPr>
      <w:sz w:val="18"/>
      <w:szCs w:val="18"/>
    </w:rPr>
  </w:style>
  <w:style w:type="paragraph" w:styleId="a7">
    <w:name w:val="header"/>
    <w:basedOn w:val="a"/>
    <w:link w:val="Char3"/>
    <w:uiPriority w:val="99"/>
    <w:rsid w:val="00B15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7"/>
    <w:uiPriority w:val="99"/>
    <w:locked/>
    <w:rsid w:val="00B1588A"/>
    <w:rPr>
      <w:sz w:val="18"/>
      <w:szCs w:val="18"/>
    </w:rPr>
  </w:style>
  <w:style w:type="character" w:styleId="a8">
    <w:name w:val="annotation reference"/>
    <w:uiPriority w:val="99"/>
    <w:semiHidden/>
    <w:rsid w:val="00B1588A"/>
    <w:rPr>
      <w:sz w:val="16"/>
      <w:szCs w:val="16"/>
    </w:rPr>
  </w:style>
  <w:style w:type="paragraph" w:customStyle="1" w:styleId="Revision1">
    <w:name w:val="Revision1"/>
    <w:hidden/>
    <w:uiPriority w:val="99"/>
    <w:semiHidden/>
    <w:rsid w:val="00B1588A"/>
  </w:style>
  <w:style w:type="paragraph" w:customStyle="1" w:styleId="ListParagraph1">
    <w:name w:val="List Paragraph1"/>
    <w:basedOn w:val="a"/>
    <w:uiPriority w:val="99"/>
    <w:rsid w:val="00B1588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588A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B1588A"/>
    <w:rPr>
      <w:sz w:val="20"/>
      <w:szCs w:val="20"/>
    </w:rPr>
  </w:style>
  <w:style w:type="character" w:customStyle="1" w:styleId="Char">
    <w:name w:val="批注文字 Char"/>
    <w:link w:val="a3"/>
    <w:uiPriority w:val="99"/>
    <w:semiHidden/>
    <w:locked/>
    <w:rsid w:val="00B1588A"/>
    <w:rPr>
      <w:sz w:val="20"/>
      <w:szCs w:val="20"/>
    </w:rPr>
  </w:style>
  <w:style w:type="paragraph" w:styleId="a4">
    <w:name w:val="annotation subject"/>
    <w:basedOn w:val="a3"/>
    <w:next w:val="a3"/>
    <w:link w:val="Char0"/>
    <w:uiPriority w:val="99"/>
    <w:semiHidden/>
    <w:rsid w:val="00B1588A"/>
    <w:rPr>
      <w:b/>
      <w:bCs/>
    </w:rPr>
  </w:style>
  <w:style w:type="character" w:customStyle="1" w:styleId="Char0">
    <w:name w:val="批注主题 Char"/>
    <w:link w:val="a4"/>
    <w:uiPriority w:val="99"/>
    <w:semiHidden/>
    <w:locked/>
    <w:rsid w:val="00B1588A"/>
    <w:rPr>
      <w:b/>
      <w:bCs/>
      <w:sz w:val="20"/>
      <w:szCs w:val="20"/>
    </w:rPr>
  </w:style>
  <w:style w:type="paragraph" w:styleId="a5">
    <w:name w:val="Balloon Text"/>
    <w:basedOn w:val="a"/>
    <w:link w:val="Char1"/>
    <w:uiPriority w:val="99"/>
    <w:semiHidden/>
    <w:rsid w:val="00B1588A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5"/>
    <w:uiPriority w:val="99"/>
    <w:semiHidden/>
    <w:locked/>
    <w:rsid w:val="00B1588A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rsid w:val="00B15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B1588A"/>
    <w:rPr>
      <w:sz w:val="18"/>
      <w:szCs w:val="18"/>
    </w:rPr>
  </w:style>
  <w:style w:type="paragraph" w:styleId="a7">
    <w:name w:val="header"/>
    <w:basedOn w:val="a"/>
    <w:link w:val="Char3"/>
    <w:uiPriority w:val="99"/>
    <w:rsid w:val="00B15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7"/>
    <w:uiPriority w:val="99"/>
    <w:locked/>
    <w:rsid w:val="00B1588A"/>
    <w:rPr>
      <w:sz w:val="18"/>
      <w:szCs w:val="18"/>
    </w:rPr>
  </w:style>
  <w:style w:type="character" w:styleId="a8">
    <w:name w:val="annotation reference"/>
    <w:uiPriority w:val="99"/>
    <w:semiHidden/>
    <w:rsid w:val="00B1588A"/>
    <w:rPr>
      <w:sz w:val="16"/>
      <w:szCs w:val="16"/>
    </w:rPr>
  </w:style>
  <w:style w:type="paragraph" w:customStyle="1" w:styleId="Revision1">
    <w:name w:val="Revision1"/>
    <w:hidden/>
    <w:uiPriority w:val="99"/>
    <w:semiHidden/>
    <w:rsid w:val="00B1588A"/>
  </w:style>
  <w:style w:type="paragraph" w:customStyle="1" w:styleId="ListParagraph1">
    <w:name w:val="List Paragraph1"/>
    <w:basedOn w:val="a"/>
    <w:uiPriority w:val="99"/>
    <w:rsid w:val="00B158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[新闻稿]</vt:lpstr>
    </vt:vector>
  </TitlesOfParts>
  <Company>Microsoft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[新闻稿]</dc:title>
  <dc:creator>李承阳</dc:creator>
  <cp:lastModifiedBy>张天</cp:lastModifiedBy>
  <cp:revision>2</cp:revision>
  <cp:lastPrinted>2015-04-23T08:49:00Z</cp:lastPrinted>
  <dcterms:created xsi:type="dcterms:W3CDTF">2015-04-29T10:21:00Z</dcterms:created>
  <dcterms:modified xsi:type="dcterms:W3CDTF">2015-04-29T10:21:00Z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