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8F2922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8F2922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21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76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63423" w:rsidRPr="00463423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34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8F292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8F292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 w:rsidR="00B43E21">
        <w:rPr>
          <w:rFonts w:ascii="彩虹粗仿宋" w:eastAsia="彩虹粗仿宋" w:hAnsi="宋体" w:hint="eastAsia"/>
          <w:color w:val="000000"/>
          <w:sz w:val="28"/>
          <w:szCs w:val="28"/>
        </w:rPr>
        <w:t>，投资组合如下：</w:t>
      </w:r>
    </w:p>
    <w:p w:rsidR="002C36C8" w:rsidRPr="0000530E" w:rsidRDefault="00913841" w:rsidP="00913841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510342" wp14:editId="38D92164">
            <wp:extent cx="4357315" cy="2178657"/>
            <wp:effectExtent l="0" t="0" r="24765" b="1270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13841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680818"/>
    <w:rsid w:val="00694689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43E2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notesFFF692\X4915S5&#37329;&#24314;&#36135;&#24065;&#22411;FOF&#31169;&#21215;&#22522;&#37329;&#22996;&#25176;&#36164;&#20135;&#36164;&#20135;&#20272;&#20540;&#34920;201805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912292213473316E-2"/>
          <c:y val="0.11342592592592593"/>
          <c:w val="0.65900932693863634"/>
          <c:h val="0.82501228162806184"/>
        </c:manualLayout>
      </c:layout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0.0000%</c:formatCode>
                <c:ptCount val="2"/>
                <c:pt idx="0">
                  <c:v>1.8035000000000002E-2</c:v>
                </c:pt>
                <c:pt idx="1">
                  <c:v>0.97399400000000003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王孝培</cp:lastModifiedBy>
  <cp:revision>12</cp:revision>
  <dcterms:created xsi:type="dcterms:W3CDTF">2018-03-20T07:07:00Z</dcterms:created>
  <dcterms:modified xsi:type="dcterms:W3CDTF">2018-05-16T09:23:00Z</dcterms:modified>
</cp:coreProperties>
</file>