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F8" w:rsidRPr="00DE2106" w:rsidRDefault="000360F8" w:rsidP="000360F8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bookmarkStart w:id="0" w:name="_GoBack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3号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0360F8" w:rsidRPr="00DE2106" w:rsidRDefault="000360F8" w:rsidP="000360F8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</w:t>
      </w:r>
      <w:r>
        <w:rPr>
          <w:rFonts w:ascii="彩虹粗仿宋" w:eastAsia="彩虹粗仿宋" w:hAnsi="宋体" w:hint="eastAsia"/>
          <w:color w:val="000000"/>
          <w:szCs w:val="21"/>
        </w:rPr>
        <w:t>2018年6月5日</w:t>
      </w:r>
    </w:p>
    <w:p w:rsidR="000360F8" w:rsidRPr="00DE2106" w:rsidRDefault="000360F8" w:rsidP="000360F8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3号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式成立，首次开放日为【2016】年【12】月【26】日。截至2018年5月31日，目前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总资产0.</w:t>
      </w:r>
      <w:r>
        <w:rPr>
          <w:rFonts w:ascii="彩虹粗仿宋" w:eastAsia="彩虹粗仿宋" w:hAnsi="宋体"/>
          <w:color w:val="000000"/>
          <w:sz w:val="28"/>
          <w:szCs w:val="28"/>
        </w:rPr>
        <w:t>57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亿元，资产净值</w:t>
      </w:r>
      <w:r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  <w:t>0.57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0360F8" w:rsidRPr="00DE2106" w:rsidRDefault="000360F8" w:rsidP="000360F8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0360F8" w:rsidRPr="00DE2106" w:rsidRDefault="000360F8" w:rsidP="000360F8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截至2018年5月31日，产品单位净值</w:t>
      </w:r>
      <w:r w:rsidRPr="001660BD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Pr="0082472B">
        <w:rPr>
          <w:rFonts w:ascii="彩虹粗仿宋" w:eastAsia="彩虹粗仿宋" w:hAnsi="宋体"/>
          <w:color w:val="000000"/>
          <w:sz w:val="28"/>
          <w:szCs w:val="28"/>
        </w:rPr>
        <w:t>1.0004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</w:t>
      </w:r>
      <w:r w:rsidRPr="001660BD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360F8" w:rsidRPr="00DE2106" w:rsidRDefault="000360F8" w:rsidP="000360F8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0360F8" w:rsidRPr="00DE2106" w:rsidRDefault="000360F8" w:rsidP="000360F8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0360F8" w:rsidRPr="00DE2106" w:rsidRDefault="000360F8" w:rsidP="000360F8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0360F8" w:rsidRPr="0000530E" w:rsidRDefault="000360F8" w:rsidP="000360F8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截至2018年5月31日，本产品的资金实际全部投资于现金、股票、买入返售金融资产等。</w:t>
      </w:r>
    </w:p>
    <w:p w:rsidR="000360F8" w:rsidRPr="00030DB3" w:rsidRDefault="000360F8" w:rsidP="000360F8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0360F8" w:rsidRPr="00DE2106" w:rsidRDefault="000360F8" w:rsidP="000360F8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4A5B23F0" wp14:editId="257E852E">
            <wp:extent cx="4378325" cy="2692400"/>
            <wp:effectExtent l="0" t="0" r="3175" b="0"/>
            <wp:docPr id="4" name="图表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360F8" w:rsidRPr="00DE2106" w:rsidRDefault="000360F8" w:rsidP="000360F8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0360F8" w:rsidRPr="00467715" w:rsidRDefault="000360F8" w:rsidP="000360F8">
      <w:pPr>
        <w:ind w:firstLineChars="152" w:firstLine="426"/>
        <w:jc w:val="lef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目前无</w:t>
      </w:r>
      <w:r>
        <w:rPr>
          <w:rFonts w:ascii="彩虹粗仿宋" w:eastAsia="彩虹粗仿宋" w:hAnsi="宋体"/>
          <w:color w:val="000000"/>
          <w:sz w:val="28"/>
          <w:szCs w:val="28"/>
        </w:rPr>
        <w:t>债券投资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360F8" w:rsidRPr="00DE2106" w:rsidRDefault="000360F8" w:rsidP="000360F8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0360F8" w:rsidRPr="00DE2106" w:rsidRDefault="000360F8" w:rsidP="000360F8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0360F8" w:rsidRPr="00DE2106" w:rsidRDefault="000360F8" w:rsidP="000360F8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0360F8" w:rsidRPr="00DE2106" w:rsidRDefault="000360F8" w:rsidP="000360F8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360F8" w:rsidRPr="00DE2106" w:rsidRDefault="000360F8" w:rsidP="000360F8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0360F8" w:rsidRPr="00DE2106" w:rsidRDefault="000360F8" w:rsidP="000360F8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2018年6月5日</w:t>
      </w:r>
    </w:p>
    <w:p w:rsidR="000360F8" w:rsidRPr="005D1C84" w:rsidRDefault="000360F8" w:rsidP="000360F8">
      <w:pPr>
        <w:rPr>
          <w:rFonts w:ascii="Times New Roman" w:hAnsi="Times New Roman"/>
          <w:szCs w:val="24"/>
        </w:rPr>
      </w:pPr>
    </w:p>
    <w:bookmarkEnd w:id="0"/>
    <w:p w:rsidR="00615B9D" w:rsidRDefault="00C8725E"/>
    <w:sectPr w:rsidR="00615B9D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25E" w:rsidRDefault="00C8725E" w:rsidP="000360F8">
      <w:r>
        <w:separator/>
      </w:r>
    </w:p>
  </w:endnote>
  <w:endnote w:type="continuationSeparator" w:id="0">
    <w:p w:rsidR="00C8725E" w:rsidRDefault="00C8725E" w:rsidP="0003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25E" w:rsidRDefault="00C8725E" w:rsidP="000360F8">
      <w:r>
        <w:separator/>
      </w:r>
    </w:p>
  </w:footnote>
  <w:footnote w:type="continuationSeparator" w:id="0">
    <w:p w:rsidR="00C8725E" w:rsidRDefault="00C8725E" w:rsidP="00036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BAA"/>
    <w:rsid w:val="000360F8"/>
    <w:rsid w:val="001860BB"/>
    <w:rsid w:val="005226E7"/>
    <w:rsid w:val="00C8725E"/>
    <w:rsid w:val="00F62BAA"/>
    <w:rsid w:val="00F6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6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60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60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60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60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60F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6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60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60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60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60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60F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0-&#24037;&#20316;\&#26631;&#20934;&#21270;&#25237;&#30740;\1-&#20135;&#21697;&#25237;&#21518;\2018-05-31\&#24314;&#20449;&#36164;&#26412;&#23433;&#37995;1&#12289;2&#21495;&#65293;&#25237;&#21518;&#31649;&#29702;&#21488;&#36134;&#12304;2018-05-31&#12305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楷体_GB2312" panose="02010609030101010101" pitchFamily="49" charset="-122"/>
                <a:ea typeface="楷体_GB2312" panose="02010609030101010101" pitchFamily="49" charset="-122"/>
                <a:cs typeface="+mn-cs"/>
              </a:defRPr>
            </a:pPr>
            <a:r>
              <a:rPr lang="zh-CN" altLang="en-US"/>
              <a:t>资产分布情况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安鑫2号资产分布</c:v>
          </c:tx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A62-4457-B422-FC222AA9DFF8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A62-4457-B422-FC222AA9DFF8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A62-4457-B422-FC222AA9DFF8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A62-4457-B422-FC222AA9DFF8}"/>
              </c:ext>
            </c:extLst>
          </c:dPt>
          <c:dLbls>
            <c:dLbl>
              <c:idx val="0"/>
              <c:layout>
                <c:manualLayout>
                  <c:x val="-1.1372144055763521E-3"/>
                  <c:y val="1.514540042933620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A62-4457-B422-FC222AA9DFF8}"/>
                </c:ext>
              </c:extLst>
            </c:dLbl>
            <c:dLbl>
              <c:idx val="1"/>
              <c:layout>
                <c:manualLayout>
                  <c:x val="-4.3599846461880011E-2"/>
                  <c:y val="-1.109332873810883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A62-4457-B422-FC222AA9DFF8}"/>
                </c:ext>
              </c:extLst>
            </c:dLbl>
            <c:dLbl>
              <c:idx val="3"/>
              <c:layout>
                <c:manualLayout>
                  <c:x val="7.8075378917556212E-2"/>
                  <c:y val="-1.150208209802753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A62-4457-B422-FC222AA9DF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安鑫2号!$L$7:$L$10</c:f>
              <c:strCache>
                <c:ptCount val="4"/>
                <c:pt idx="0">
                  <c:v>买入返售金融资产</c:v>
                </c:pt>
                <c:pt idx="1">
                  <c:v>现金类资产</c:v>
                </c:pt>
                <c:pt idx="2">
                  <c:v>股票投资</c:v>
                </c:pt>
                <c:pt idx="3">
                  <c:v>应收利息</c:v>
                </c:pt>
              </c:strCache>
            </c:strRef>
          </c:cat>
          <c:val>
            <c:numRef>
              <c:f>安鑫2号!$K$7:$K$10</c:f>
              <c:numCache>
                <c:formatCode>0.00%</c:formatCode>
                <c:ptCount val="4"/>
                <c:pt idx="0">
                  <c:v>0.99477416423446496</c:v>
                </c:pt>
                <c:pt idx="1">
                  <c:v>3.8495549924603841E-3</c:v>
                </c:pt>
                <c:pt idx="2">
                  <c:v>1.0109338756549961E-3</c:v>
                </c:pt>
                <c:pt idx="3">
                  <c:v>3.6534689741958174E-4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A62-4457-B422-FC222AA9DFF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054644808743182"/>
          <c:y val="0.36770655208967518"/>
          <c:w val="0.29306010928961751"/>
          <c:h val="0.390294556367753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楷体_GB2312" panose="02010609030101010101" pitchFamily="49" charset="-122"/>
              <a:ea typeface="楷体_GB2312" panose="02010609030101010101" pitchFamily="49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等线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2018-06-05T07:07:00Z</dcterms:created>
  <dcterms:modified xsi:type="dcterms:W3CDTF">2018-06-05T07:07:00Z</dcterms:modified>
</cp:coreProperties>
</file>