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85DC6" w14:textId="77777777" w:rsidR="00EF05E2" w:rsidRPr="00456670" w:rsidRDefault="00EF05E2" w:rsidP="00456670">
      <w:pPr>
        <w:spacing w:line="480" w:lineRule="exact"/>
        <w:ind w:firstLineChars="200" w:firstLine="640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456670">
        <w:rPr>
          <w:rFonts w:asciiTheme="majorHAnsi" w:eastAsiaTheme="majorEastAsia" w:hAnsiTheme="majorHAnsi" w:cstheme="majorBidi" w:hint="eastAsia"/>
          <w:sz w:val="32"/>
          <w:szCs w:val="32"/>
        </w:rPr>
        <w:t>摩根富林明亚洲创富精选理财产品月度投资管理报告</w:t>
      </w:r>
    </w:p>
    <w:p w14:paraId="56E9A6E1" w14:textId="4BE7B6B0" w:rsidR="00747E15" w:rsidRPr="00F729F2" w:rsidRDefault="0030248E" w:rsidP="00EF05E2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szCs w:val="21"/>
        </w:rPr>
      </w:pPr>
      <w:r w:rsidRPr="00F729F2">
        <w:rPr>
          <w:rFonts w:asciiTheme="minorEastAsia" w:eastAsiaTheme="minorEastAsia" w:hAnsiTheme="minorEastAsia" w:hint="eastAsia"/>
          <w:szCs w:val="21"/>
        </w:rPr>
        <w:t>报告日：</w:t>
      </w:r>
      <w:r w:rsidRPr="00F729F2">
        <w:rPr>
          <w:rFonts w:asciiTheme="minorEastAsia" w:eastAsiaTheme="minorEastAsia" w:hAnsiTheme="minorEastAsia"/>
          <w:szCs w:val="21"/>
        </w:rPr>
        <w:t>20</w:t>
      </w:r>
      <w:r w:rsidR="00011892" w:rsidRPr="00F729F2">
        <w:rPr>
          <w:rFonts w:asciiTheme="minorEastAsia" w:eastAsiaTheme="minorEastAsia" w:hAnsiTheme="minorEastAsia"/>
          <w:szCs w:val="21"/>
        </w:rPr>
        <w:t>20</w:t>
      </w:r>
      <w:r w:rsidRPr="00F729F2">
        <w:rPr>
          <w:rFonts w:asciiTheme="minorEastAsia" w:eastAsiaTheme="minorEastAsia" w:hAnsiTheme="minorEastAsia" w:hint="eastAsia"/>
          <w:szCs w:val="21"/>
        </w:rPr>
        <w:t>年</w:t>
      </w:r>
      <w:r w:rsidR="00011892" w:rsidRPr="00F729F2">
        <w:rPr>
          <w:rFonts w:asciiTheme="minorEastAsia" w:eastAsiaTheme="minorEastAsia" w:hAnsiTheme="minorEastAsia"/>
          <w:szCs w:val="21"/>
        </w:rPr>
        <w:t>0</w:t>
      </w:r>
      <w:r w:rsidR="00683BD5" w:rsidRPr="00F729F2">
        <w:rPr>
          <w:rFonts w:asciiTheme="minorEastAsia" w:eastAsiaTheme="minorEastAsia" w:hAnsiTheme="minorEastAsia"/>
          <w:szCs w:val="21"/>
        </w:rPr>
        <w:t>7</w:t>
      </w:r>
      <w:r w:rsidRPr="00F729F2">
        <w:rPr>
          <w:rFonts w:asciiTheme="minorEastAsia" w:eastAsiaTheme="minorEastAsia" w:hAnsiTheme="minorEastAsia" w:hint="eastAsia"/>
          <w:szCs w:val="21"/>
        </w:rPr>
        <w:t>月</w:t>
      </w:r>
      <w:r w:rsidR="004D5435" w:rsidRPr="00F729F2">
        <w:rPr>
          <w:rFonts w:asciiTheme="minorEastAsia" w:eastAsiaTheme="minorEastAsia" w:hAnsiTheme="minorEastAsia" w:hint="eastAsia"/>
          <w:szCs w:val="21"/>
        </w:rPr>
        <w:t>3</w:t>
      </w:r>
      <w:r w:rsidR="00683BD5" w:rsidRPr="00F729F2">
        <w:rPr>
          <w:rFonts w:asciiTheme="minorEastAsia" w:eastAsiaTheme="minorEastAsia" w:hAnsiTheme="minorEastAsia"/>
          <w:szCs w:val="21"/>
        </w:rPr>
        <w:t>1</w:t>
      </w:r>
      <w:r w:rsidRPr="00F729F2">
        <w:rPr>
          <w:rFonts w:asciiTheme="minorEastAsia" w:eastAsiaTheme="minorEastAsia" w:hAnsiTheme="minorEastAsia" w:hint="eastAsia"/>
          <w:szCs w:val="21"/>
        </w:rPr>
        <w:t>日</w:t>
      </w:r>
    </w:p>
    <w:p w14:paraId="5CB3F169" w14:textId="085416BE" w:rsidR="002F02E2" w:rsidRPr="00456670" w:rsidRDefault="0030248E" w:rsidP="00456670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建设银行亚洲创富精选理财产品于</w:t>
      </w:r>
      <w:r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2007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02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日正式成立。截至报告日，本产品规模为</w:t>
      </w:r>
      <w:r w:rsidR="004D543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="009D7BDC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030</w:t>
      </w:r>
      <w:r w:rsidR="009D7BDC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214</w:t>
      </w:r>
      <w:r w:rsidR="009D7BDC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.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3611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美元，杠杆水平符合监管要求。</w:t>
      </w:r>
    </w:p>
    <w:p w14:paraId="7E4123A8" w14:textId="450FF6C7" w:rsidR="00747E15" w:rsidRPr="00456670" w:rsidRDefault="0030248E" w:rsidP="0045667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一、报告期投资者实际收益率</w:t>
      </w:r>
    </w:p>
    <w:p w14:paraId="2401CE0F" w14:textId="3F021C59" w:rsidR="001C51CC" w:rsidRPr="00456670" w:rsidRDefault="0030248E" w:rsidP="00456670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截至</w:t>
      </w:r>
      <w:r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11892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11892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7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4D5435"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日，产品单位净值为</w:t>
      </w:r>
      <w:r w:rsidR="00011892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0.</w:t>
      </w:r>
      <w:r w:rsidR="00683BD5"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2074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美元。本报告期内，产品存续规模如下：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1683"/>
        <w:gridCol w:w="1589"/>
        <w:gridCol w:w="1701"/>
      </w:tblGrid>
      <w:tr w:rsidR="008C3444" w:rsidRPr="00F729F2" w14:paraId="20737F45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744AC9D2" w14:textId="2B49A143" w:rsidR="00062AD3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 w14:paraId="742D7C37" w14:textId="4D37126C" w:rsidR="00062AD3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份额净值</w:t>
            </w:r>
          </w:p>
        </w:tc>
        <w:tc>
          <w:tcPr>
            <w:tcW w:w="1589" w:type="dxa"/>
            <w:vAlign w:val="center"/>
          </w:tcPr>
          <w:p w14:paraId="10033ECC" w14:textId="7925E0D5" w:rsidR="00062AD3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  <w:highlight w:val="yellow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累计净值</w:t>
            </w:r>
          </w:p>
        </w:tc>
        <w:tc>
          <w:tcPr>
            <w:tcW w:w="1701" w:type="dxa"/>
            <w:vAlign w:val="center"/>
          </w:tcPr>
          <w:p w14:paraId="678CD27A" w14:textId="5884FB1E" w:rsidR="00062AD3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资产净值</w:t>
            </w:r>
          </w:p>
        </w:tc>
      </w:tr>
      <w:tr w:rsidR="000E1C0D" w:rsidRPr="00F729F2" w14:paraId="15F80F61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09E63198" w14:textId="53D848F2" w:rsidR="000E1C0D" w:rsidRPr="00F729F2" w:rsidRDefault="000E1C0D" w:rsidP="000E1C0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报告日</w:t>
            </w:r>
          </w:p>
          <w:p w14:paraId="5F09382F" w14:textId="018CA02D" w:rsidR="000E1C0D" w:rsidRPr="00F729F2" w:rsidRDefault="000E1C0D" w:rsidP="000E1C0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（报告期末最后一个市场交易日）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FBD441A" w14:textId="29821504" w:rsidR="000E1C0D" w:rsidRPr="00F729F2" w:rsidRDefault="000E1C0D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2074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EAA244" w14:textId="71DFB531" w:rsidR="000E1C0D" w:rsidRPr="00F729F2" w:rsidRDefault="009D7BDC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2074</w:t>
            </w:r>
            <w:r w:rsidR="000E1C0D"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701" w:type="dxa"/>
            <w:vAlign w:val="center"/>
          </w:tcPr>
          <w:p w14:paraId="365FD841" w14:textId="6A17AB04" w:rsidR="000E1C0D" w:rsidRPr="00F729F2" w:rsidRDefault="004D543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  <w:r w:rsidR="00F87F06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03</w:t>
            </w:r>
            <w:proofErr w:type="gramStart"/>
            <w:r w:rsidR="000E1C0D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="000E1C0D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</w:tr>
      <w:tr w:rsidR="00683BD5" w:rsidRPr="00F729F2" w14:paraId="0BCD307E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6872C6F1" w14:textId="1A3BDF86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一个月前</w:t>
            </w:r>
          </w:p>
        </w:tc>
        <w:tc>
          <w:tcPr>
            <w:tcW w:w="1683" w:type="dxa"/>
            <w:vAlign w:val="center"/>
          </w:tcPr>
          <w:p w14:paraId="1646E910" w14:textId="0E185FC5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0.1936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589" w:type="dxa"/>
            <w:vAlign w:val="center"/>
          </w:tcPr>
          <w:p w14:paraId="3967D8AA" w14:textId="3E40CA5C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0.1936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701" w:type="dxa"/>
            <w:vAlign w:val="center"/>
          </w:tcPr>
          <w:p w14:paraId="5FEFC108" w14:textId="358A5D5A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51.20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</w:tr>
      <w:tr w:rsidR="00683BD5" w:rsidRPr="00F729F2" w14:paraId="47B96469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59CA0A6B" w14:textId="231A0C3F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两个月前</w:t>
            </w:r>
          </w:p>
        </w:tc>
        <w:tc>
          <w:tcPr>
            <w:tcW w:w="1683" w:type="dxa"/>
            <w:vAlign w:val="center"/>
          </w:tcPr>
          <w:p w14:paraId="36FE9100" w14:textId="27B2F0D2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0.1820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589" w:type="dxa"/>
            <w:vAlign w:val="center"/>
          </w:tcPr>
          <w:p w14:paraId="5F0D7694" w14:textId="54DCB29D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0.1820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701" w:type="dxa"/>
            <w:vAlign w:val="center"/>
          </w:tcPr>
          <w:p w14:paraId="228AF3D8" w14:textId="718893DA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48.81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</w:tr>
      <w:tr w:rsidR="00683BD5" w:rsidRPr="00F729F2" w14:paraId="0CE1E19A" w14:textId="77777777" w:rsidTr="003A519E">
        <w:trPr>
          <w:trHeight w:val="285"/>
          <w:jc w:val="center"/>
        </w:trPr>
        <w:tc>
          <w:tcPr>
            <w:tcW w:w="3415" w:type="dxa"/>
            <w:vAlign w:val="center"/>
          </w:tcPr>
          <w:p w14:paraId="2E4DD9CD" w14:textId="3E8A10EF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三个月前</w:t>
            </w:r>
          </w:p>
        </w:tc>
        <w:tc>
          <w:tcPr>
            <w:tcW w:w="1683" w:type="dxa"/>
            <w:vAlign w:val="center"/>
          </w:tcPr>
          <w:p w14:paraId="7BA95626" w14:textId="7480B7F8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0.1703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589" w:type="dxa"/>
            <w:vAlign w:val="center"/>
          </w:tcPr>
          <w:p w14:paraId="2A5AF75A" w14:textId="508A879E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0.1703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1701" w:type="dxa"/>
            <w:vAlign w:val="center"/>
          </w:tcPr>
          <w:p w14:paraId="7ED001CC" w14:textId="277BBFDD" w:rsidR="00683BD5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46.28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</w:tr>
    </w:tbl>
    <w:p w14:paraId="4EFBFB86" w14:textId="4AFAF0FC" w:rsidR="00747E15" w:rsidRPr="00456670" w:rsidRDefault="0030248E" w:rsidP="00456670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相关收益及计算方法，请具体查阅对应的收益率调整公告及产品说明书。</w:t>
      </w:r>
    </w:p>
    <w:p w14:paraId="33ED11C2" w14:textId="3023163C" w:rsidR="00747E15" w:rsidRPr="00456670" w:rsidRDefault="0030248E" w:rsidP="0045667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8C3444" w:rsidRPr="00F729F2" w14:paraId="3C5621FC" w14:textId="77777777" w:rsidTr="00892297">
        <w:trPr>
          <w:trHeight w:val="589"/>
        </w:trPr>
        <w:tc>
          <w:tcPr>
            <w:tcW w:w="2943" w:type="dxa"/>
            <w:vAlign w:val="center"/>
          </w:tcPr>
          <w:p w14:paraId="28CEFD4B" w14:textId="4C5E44AC" w:rsidR="00F33FC4" w:rsidRPr="00F729F2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7D7FA78" w14:textId="7DE22847" w:rsidR="00F33FC4" w:rsidRPr="00F729F2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3B0875E" w14:textId="1B3FC585" w:rsidR="00F33FC4" w:rsidRPr="00F729F2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4645D659" w14:textId="46AFD667" w:rsidR="00F33FC4" w:rsidRPr="00F729F2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003CECD4" w14:textId="23D86E49" w:rsidR="00F33FC4" w:rsidRPr="00F729F2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产品到期日</w:t>
            </w:r>
          </w:p>
        </w:tc>
      </w:tr>
      <w:tr w:rsidR="008C3444" w:rsidRPr="00F729F2" w14:paraId="7FF6A93F" w14:textId="77777777" w:rsidTr="00892297">
        <w:trPr>
          <w:trHeight w:val="519"/>
        </w:trPr>
        <w:tc>
          <w:tcPr>
            <w:tcW w:w="2943" w:type="dxa"/>
            <w:vAlign w:val="center"/>
          </w:tcPr>
          <w:p w14:paraId="4F629764" w14:textId="79586CAE" w:rsidR="00E31B0A" w:rsidRPr="00F729F2" w:rsidRDefault="0030248E" w:rsidP="00E31B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亚洲创富精选</w:t>
            </w:r>
          </w:p>
        </w:tc>
        <w:tc>
          <w:tcPr>
            <w:tcW w:w="1418" w:type="dxa"/>
            <w:vAlign w:val="center"/>
          </w:tcPr>
          <w:p w14:paraId="1456AD33" w14:textId="4AA29F9E" w:rsidR="00E31B0A" w:rsidRPr="00F729F2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24 </w:t>
            </w:r>
          </w:p>
        </w:tc>
        <w:tc>
          <w:tcPr>
            <w:tcW w:w="1417" w:type="dxa"/>
            <w:vAlign w:val="center"/>
          </w:tcPr>
          <w:p w14:paraId="5C3F3725" w14:textId="296800F9" w:rsidR="00E31B0A" w:rsidRPr="00F729F2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00337A6F" w14:textId="7186F760" w:rsidR="00E31B0A" w:rsidRPr="00F729F2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1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0.</w:t>
            </w:r>
            <w:r w:rsidR="0030248E" w:rsidRPr="00F729F2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14:paraId="51ECAEB1" w14:textId="523304C3" w:rsidR="00E31B0A" w:rsidRPr="00F729F2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无</w:t>
            </w:r>
          </w:p>
        </w:tc>
      </w:tr>
    </w:tbl>
    <w:p w14:paraId="34C7C229" w14:textId="28609384" w:rsidR="00F33FC4" w:rsidRPr="00456670" w:rsidRDefault="0030248E" w:rsidP="00456670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理财产品管理人：</w:t>
      </w:r>
      <w:r w:rsidR="007B31D7"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摩根资产管理﹙亚太﹚有限公司</w:t>
      </w:r>
    </w:p>
    <w:p w14:paraId="3FBE7FB7" w14:textId="37ECF3EE" w:rsidR="00D32C1A" w:rsidRPr="00456670" w:rsidRDefault="0030248E" w:rsidP="0045667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理财产品托管人：境内托管人为交通银行股份有限公司</w:t>
      </w:r>
      <w:r w:rsidRPr="00456670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; </w:t>
      </w:r>
      <w:r w:rsidR="00492477"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境外托管人为</w:t>
      </w:r>
      <w:r w:rsidRPr="0045667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北美信托银行</w:t>
      </w:r>
    </w:p>
    <w:p w14:paraId="68CC78E2" w14:textId="30E13A81" w:rsidR="00892297" w:rsidRPr="00456670" w:rsidRDefault="0030248E" w:rsidP="00F729F2">
      <w:pPr>
        <w:spacing w:afterLines="50" w:after="156" w:line="480" w:lineRule="exact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三、期末资产持仓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612"/>
        <w:gridCol w:w="1350"/>
        <w:gridCol w:w="1980"/>
        <w:gridCol w:w="1287"/>
      </w:tblGrid>
      <w:tr w:rsidR="008C3444" w:rsidRPr="00F729F2" w14:paraId="29FB403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7467602" w14:textId="2C04632D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资产类别</w:t>
            </w:r>
          </w:p>
        </w:tc>
        <w:tc>
          <w:tcPr>
            <w:tcW w:w="1612" w:type="dxa"/>
            <w:vAlign w:val="center"/>
          </w:tcPr>
          <w:p w14:paraId="3529E087" w14:textId="000C3B7D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穿透前金额</w:t>
            </w:r>
          </w:p>
          <w:p w14:paraId="22975E8E" w14:textId="7A4C10AB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（万</w:t>
            </w:r>
            <w:r w:rsidR="002227B3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元）</w:t>
            </w:r>
          </w:p>
        </w:tc>
        <w:tc>
          <w:tcPr>
            <w:tcW w:w="1350" w:type="dxa"/>
            <w:vAlign w:val="center"/>
          </w:tcPr>
          <w:p w14:paraId="24133A51" w14:textId="5D80D8D8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占全部产品总资产的比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例（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980" w:type="dxa"/>
            <w:vAlign w:val="center"/>
          </w:tcPr>
          <w:p w14:paraId="10B0E8E8" w14:textId="62F332CF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穿透后金额</w:t>
            </w:r>
          </w:p>
          <w:p w14:paraId="6DE3B796" w14:textId="43B61F30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（万</w:t>
            </w:r>
            <w:r w:rsidR="00965BCA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287" w:type="dxa"/>
          </w:tcPr>
          <w:p w14:paraId="5406F53E" w14:textId="7712ABB1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占全部产品总资产的比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例（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C3444" w:rsidRPr="00F729F2" w14:paraId="780AF59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6DA4429" w14:textId="2D61A46A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现金及银行存款</w:t>
            </w:r>
          </w:p>
        </w:tc>
        <w:tc>
          <w:tcPr>
            <w:tcW w:w="1612" w:type="dxa"/>
            <w:vAlign w:val="center"/>
          </w:tcPr>
          <w:p w14:paraId="1E75A0C1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A4C702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97368B9" w14:textId="1E88B135" w:rsidR="00892297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  <w:r w:rsidR="001C1C74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16</w:t>
            </w:r>
            <w:proofErr w:type="gramStart"/>
            <w:r w:rsidR="00A97E87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="00A97E87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  <w:tc>
          <w:tcPr>
            <w:tcW w:w="1287" w:type="dxa"/>
          </w:tcPr>
          <w:p w14:paraId="6B85689B" w14:textId="22E8A690" w:rsidR="00892297" w:rsidRPr="00F729F2" w:rsidRDefault="00683BD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  <w:r w:rsidR="00C8712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20</w:t>
            </w:r>
            <w:r w:rsidR="00A97E87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8C3444" w:rsidRPr="00F729F2" w14:paraId="2615B6C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7DC394" w14:textId="07F62BAD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同业存单</w:t>
            </w:r>
          </w:p>
        </w:tc>
        <w:tc>
          <w:tcPr>
            <w:tcW w:w="1612" w:type="dxa"/>
            <w:vAlign w:val="center"/>
          </w:tcPr>
          <w:p w14:paraId="0EC4F77C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557070C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6B61745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72A7AFF1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62B56A5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A10A384" w14:textId="459D93B2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拆放同业及买入返售</w:t>
            </w:r>
          </w:p>
        </w:tc>
        <w:tc>
          <w:tcPr>
            <w:tcW w:w="1612" w:type="dxa"/>
            <w:vAlign w:val="center"/>
          </w:tcPr>
          <w:p w14:paraId="5B5DC888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E2F17C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856E0FD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58021390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05EB74C5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64BE063D" w14:textId="039648E8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债券</w:t>
            </w:r>
          </w:p>
        </w:tc>
        <w:tc>
          <w:tcPr>
            <w:tcW w:w="1612" w:type="dxa"/>
            <w:vAlign w:val="center"/>
          </w:tcPr>
          <w:p w14:paraId="6902428D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C006BF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CF99F6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3A5264A2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35AAFDB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4EB5BD8" w14:textId="044F7A9C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理财直接融资工具</w:t>
            </w:r>
          </w:p>
        </w:tc>
        <w:tc>
          <w:tcPr>
            <w:tcW w:w="1612" w:type="dxa"/>
            <w:vAlign w:val="center"/>
          </w:tcPr>
          <w:p w14:paraId="442F42BD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201B42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EC2A192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4BBD3BC6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2D69119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D30BD8" w14:textId="65234E0E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新增可投资资产</w:t>
            </w:r>
          </w:p>
        </w:tc>
        <w:tc>
          <w:tcPr>
            <w:tcW w:w="1612" w:type="dxa"/>
            <w:vAlign w:val="center"/>
          </w:tcPr>
          <w:p w14:paraId="6A7A6589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963393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1458371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22D05567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6C0CD5D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2D54233" w14:textId="570B8D67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非标准化债权类资产</w:t>
            </w:r>
          </w:p>
        </w:tc>
        <w:tc>
          <w:tcPr>
            <w:tcW w:w="1612" w:type="dxa"/>
            <w:vAlign w:val="center"/>
          </w:tcPr>
          <w:p w14:paraId="3A595EAB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918C2F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7BB942F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12308FE4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633B79A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375C71E" w14:textId="3849FC11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权益类投资</w:t>
            </w:r>
          </w:p>
        </w:tc>
        <w:tc>
          <w:tcPr>
            <w:tcW w:w="1612" w:type="dxa"/>
            <w:vAlign w:val="center"/>
          </w:tcPr>
          <w:p w14:paraId="1864B486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6E3E5C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25B4CC7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239D43B7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08C90BF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B6E204" w14:textId="09ED032B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金融衍生品</w:t>
            </w:r>
          </w:p>
        </w:tc>
        <w:tc>
          <w:tcPr>
            <w:tcW w:w="1612" w:type="dxa"/>
            <w:vAlign w:val="center"/>
          </w:tcPr>
          <w:p w14:paraId="3209B84D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F03DC3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07E28DF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12F2D459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7E31CD9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3DBB31B" w14:textId="6E04E803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代客境外理财投资</w:t>
            </w: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QDII</w:t>
            </w:r>
          </w:p>
        </w:tc>
        <w:tc>
          <w:tcPr>
            <w:tcW w:w="1612" w:type="dxa"/>
            <w:vAlign w:val="center"/>
          </w:tcPr>
          <w:p w14:paraId="3E72E023" w14:textId="6A589839" w:rsidR="00892297" w:rsidRPr="00F729F2" w:rsidRDefault="00C87125" w:rsidP="00683BD5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  <w:r w:rsidR="00676DD6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03</w:t>
            </w:r>
            <w:proofErr w:type="gramStart"/>
            <w:r w:rsidR="0030248E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="0030248E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  <w:tc>
          <w:tcPr>
            <w:tcW w:w="1350" w:type="dxa"/>
            <w:vAlign w:val="center"/>
          </w:tcPr>
          <w:p w14:paraId="580D6393" w14:textId="22519C5A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980" w:type="dxa"/>
            <w:vAlign w:val="center"/>
          </w:tcPr>
          <w:p w14:paraId="14B1D579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055738FC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3119B444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A94D4F" w14:textId="70CA898E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商品类资产</w:t>
            </w:r>
          </w:p>
        </w:tc>
        <w:tc>
          <w:tcPr>
            <w:tcW w:w="1612" w:type="dxa"/>
            <w:vAlign w:val="center"/>
          </w:tcPr>
          <w:p w14:paraId="1507AABD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22DE2BC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5602A7B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254A5E8B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05DB6E01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2257044" w14:textId="56A1BDC0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另类资产</w:t>
            </w:r>
          </w:p>
        </w:tc>
        <w:tc>
          <w:tcPr>
            <w:tcW w:w="1612" w:type="dxa"/>
            <w:vAlign w:val="center"/>
          </w:tcPr>
          <w:p w14:paraId="3150B932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DD7A80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BB130FA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67B0D4AA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289670CE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E17D396" w14:textId="1B5F0C9F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公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募基金</w:t>
            </w:r>
            <w:proofErr w:type="gramEnd"/>
          </w:p>
        </w:tc>
        <w:tc>
          <w:tcPr>
            <w:tcW w:w="1612" w:type="dxa"/>
            <w:vAlign w:val="center"/>
          </w:tcPr>
          <w:p w14:paraId="031CF651" w14:textId="77777777" w:rsidR="00892297" w:rsidRPr="00F729F2" w:rsidRDefault="00892297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222638" w14:textId="77777777" w:rsidR="00892297" w:rsidRPr="00F729F2" w:rsidRDefault="00892297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E20ECF0" w14:textId="23856EC7" w:rsidR="00892297" w:rsidRPr="00F729F2" w:rsidRDefault="00C8712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  <w:r w:rsidR="001C1C74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87</w:t>
            </w:r>
            <w:proofErr w:type="gramStart"/>
            <w:r w:rsidR="00A97E87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="00A97E87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  <w:tc>
          <w:tcPr>
            <w:tcW w:w="1287" w:type="dxa"/>
          </w:tcPr>
          <w:p w14:paraId="502EA5AB" w14:textId="254B52A2" w:rsidR="00892297" w:rsidRPr="00F729F2" w:rsidRDefault="00930283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9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7.80</w:t>
            </w:r>
            <w:r w:rsidR="00A97E87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%</w:t>
            </w:r>
          </w:p>
        </w:tc>
      </w:tr>
      <w:tr w:rsidR="008C3444" w:rsidRPr="00F729F2" w14:paraId="5018BA1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E7266F4" w14:textId="281266E8" w:rsidR="00CF3B2C" w:rsidRPr="00F729F2" w:rsidRDefault="0030248E" w:rsidP="00CF3B2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私募基金</w:t>
            </w:r>
          </w:p>
        </w:tc>
        <w:tc>
          <w:tcPr>
            <w:tcW w:w="1612" w:type="dxa"/>
            <w:vAlign w:val="center"/>
          </w:tcPr>
          <w:p w14:paraId="75E4697E" w14:textId="77777777" w:rsidR="00CF3B2C" w:rsidRPr="00F729F2" w:rsidRDefault="00CF3B2C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F238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6EC3A77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1F8BC531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1C59B8A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FA82DFE" w14:textId="31FC79A9" w:rsidR="00CF3B2C" w:rsidRPr="00F729F2" w:rsidRDefault="0030248E" w:rsidP="00CF3B2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资产管理产品</w:t>
            </w:r>
          </w:p>
        </w:tc>
        <w:tc>
          <w:tcPr>
            <w:tcW w:w="1612" w:type="dxa"/>
            <w:vAlign w:val="center"/>
          </w:tcPr>
          <w:p w14:paraId="51F94C1A" w14:textId="77777777" w:rsidR="00CF3B2C" w:rsidRPr="00F729F2" w:rsidRDefault="00CF3B2C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E971B0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DBB4A87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6526CB7F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0ADE117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90DBFA0" w14:textId="0BBF85AA" w:rsidR="00CF3B2C" w:rsidRPr="00F729F2" w:rsidRDefault="0030248E" w:rsidP="00CF3B2C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委外投资——协议方式</w:t>
            </w:r>
          </w:p>
        </w:tc>
        <w:tc>
          <w:tcPr>
            <w:tcW w:w="1612" w:type="dxa"/>
            <w:vAlign w:val="center"/>
          </w:tcPr>
          <w:p w14:paraId="5F7D389C" w14:textId="77777777" w:rsidR="00CF3B2C" w:rsidRPr="00F729F2" w:rsidRDefault="00CF3B2C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F1B08E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00F2968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dxa"/>
          </w:tcPr>
          <w:p w14:paraId="30B42AE3" w14:textId="77777777" w:rsidR="00CF3B2C" w:rsidRPr="00F729F2" w:rsidRDefault="00CF3B2C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8C3444" w:rsidRPr="00F729F2" w14:paraId="743CF14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450FB9E" w14:textId="7E887A91" w:rsidR="00892297" w:rsidRPr="00F729F2" w:rsidRDefault="0030248E" w:rsidP="005A08AB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612" w:type="dxa"/>
            <w:vAlign w:val="center"/>
          </w:tcPr>
          <w:p w14:paraId="31D199C4" w14:textId="2A74ACD3" w:rsidR="00892297" w:rsidRPr="00F729F2" w:rsidRDefault="00C87125" w:rsidP="00683BD5">
            <w:pPr>
              <w:spacing w:line="360" w:lineRule="auto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  <w:r w:rsidR="00930283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03</w:t>
            </w:r>
            <w:proofErr w:type="gramStart"/>
            <w:r w:rsidR="0030248E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="0030248E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  <w:tc>
          <w:tcPr>
            <w:tcW w:w="1350" w:type="dxa"/>
            <w:vAlign w:val="center"/>
          </w:tcPr>
          <w:p w14:paraId="5104C4FA" w14:textId="07A97B04" w:rsidR="00892297" w:rsidRPr="00F729F2" w:rsidRDefault="0030248E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980" w:type="dxa"/>
            <w:vAlign w:val="center"/>
          </w:tcPr>
          <w:p w14:paraId="3F057D51" w14:textId="5CB7F172" w:rsidR="00892297" w:rsidRPr="00F729F2" w:rsidRDefault="00C87125" w:rsidP="00683BD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5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  <w:r w:rsidR="00930283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.</w:t>
            </w:r>
            <w:r w:rsidR="00683BD5"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03</w:t>
            </w:r>
            <w:proofErr w:type="gramStart"/>
            <w:r w:rsidR="00280583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百万</w:t>
            </w:r>
            <w:proofErr w:type="gramEnd"/>
            <w:r w:rsidR="00280583"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美元</w:t>
            </w:r>
          </w:p>
        </w:tc>
        <w:tc>
          <w:tcPr>
            <w:tcW w:w="1287" w:type="dxa"/>
          </w:tcPr>
          <w:p w14:paraId="50A565BD" w14:textId="6FD3A628" w:rsidR="00892297" w:rsidRPr="00F729F2" w:rsidRDefault="00280583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100%</w:t>
            </w:r>
          </w:p>
        </w:tc>
      </w:tr>
    </w:tbl>
    <w:p w14:paraId="61012707" w14:textId="6090E3DA" w:rsidR="00C85517" w:rsidRPr="00456670" w:rsidRDefault="0030248E" w:rsidP="0045667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456670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四、前十大投资资产明细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999"/>
        <w:gridCol w:w="3369"/>
        <w:gridCol w:w="2358"/>
      </w:tblGrid>
      <w:tr w:rsidR="008C3444" w:rsidRPr="00F729F2" w14:paraId="07E48144" w14:textId="77777777" w:rsidTr="003A519E">
        <w:trPr>
          <w:trHeight w:val="589"/>
          <w:jc w:val="center"/>
        </w:trPr>
        <w:tc>
          <w:tcPr>
            <w:tcW w:w="909" w:type="dxa"/>
            <w:vAlign w:val="center"/>
          </w:tcPr>
          <w:p w14:paraId="044329AA" w14:textId="65FEB0CA" w:rsidR="00CF3B2C" w:rsidRPr="00F729F2" w:rsidRDefault="0030248E" w:rsidP="00CF3B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1FA20460" w14:textId="4EF99B97" w:rsidR="00CF3B2C" w:rsidRPr="00F729F2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资产名称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E9165" w14:textId="5CC2F86D" w:rsidR="00CF3B2C" w:rsidRPr="00F729F2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资产规模（</w:t>
            </w:r>
            <w:r w:rsidR="00965BCA"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元）</w:t>
            </w:r>
          </w:p>
        </w:tc>
        <w:tc>
          <w:tcPr>
            <w:tcW w:w="2358" w:type="dxa"/>
            <w:vAlign w:val="center"/>
          </w:tcPr>
          <w:p w14:paraId="696CA435" w14:textId="0636B514" w:rsidR="00CF3B2C" w:rsidRPr="00F729F2" w:rsidRDefault="0030248E" w:rsidP="00977A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资产占比（</w:t>
            </w: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%</w:t>
            </w: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8E4366" w:rsidRPr="00F729F2" w14:paraId="1214CB90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FB26B" w14:textId="13683700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7AAC8CDB" w14:textId="7D4005F8" w:rsidR="008E4366" w:rsidRPr="00F729F2" w:rsidRDefault="008E4366" w:rsidP="008E43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摩根日本（日元）基金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4B388" w14:textId="425A7D30" w:rsidR="008E4366" w:rsidRPr="00F729F2" w:rsidRDefault="008E4366" w:rsidP="003A519E">
            <w:pPr>
              <w:spacing w:before="100" w:beforeAutospacing="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11,146,261.67 </w:t>
            </w:r>
          </w:p>
        </w:tc>
        <w:tc>
          <w:tcPr>
            <w:tcW w:w="2358" w:type="dxa"/>
          </w:tcPr>
          <w:p w14:paraId="7188398D" w14:textId="1428C70C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21.0%</w:t>
            </w:r>
          </w:p>
        </w:tc>
      </w:tr>
      <w:tr w:rsidR="008E4366" w:rsidRPr="00F729F2" w14:paraId="5E8A4D38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2D2182C" w14:textId="7865DF0C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10F6270E" w14:textId="73A7ED63" w:rsidR="008E4366" w:rsidRPr="00F729F2" w:rsidRDefault="008E4366" w:rsidP="00EF05E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摩根基金 - 大中</w:t>
            </w:r>
            <w:r w:rsidR="00EF05E2" w:rsidRPr="00F729F2">
              <w:rPr>
                <w:rFonts w:asciiTheme="minorEastAsia" w:eastAsiaTheme="minorEastAsia" w:hAnsiTheme="minorEastAsia" w:hint="eastAsia"/>
                <w:szCs w:val="21"/>
              </w:rPr>
              <w:t>华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4FA1C" w14:textId="17EC2D82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9,121,939.29 </w:t>
            </w:r>
          </w:p>
        </w:tc>
        <w:tc>
          <w:tcPr>
            <w:tcW w:w="2358" w:type="dxa"/>
          </w:tcPr>
          <w:p w14:paraId="473BDC96" w14:textId="76156D65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17.2%</w:t>
            </w:r>
          </w:p>
        </w:tc>
      </w:tr>
      <w:tr w:rsidR="008E4366" w:rsidRPr="00F729F2" w14:paraId="4C594D7E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AC1384E" w14:textId="307AEC32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6199F5CE" w14:textId="2D991BEF" w:rsidR="008E4366" w:rsidRPr="00F729F2" w:rsidRDefault="008E4366" w:rsidP="009833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</w:t>
            </w:r>
            <w:r w:rsidR="0098331C" w:rsidRPr="00F729F2">
              <w:rPr>
                <w:rFonts w:asciiTheme="minorEastAsia" w:eastAsiaTheme="minorEastAsia" w:hAnsiTheme="minorEastAsia" w:hint="eastAsia"/>
                <w:szCs w:val="21"/>
              </w:rPr>
              <w:t>南韩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7C835" w14:textId="1D2F4987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8,344,993.62 </w:t>
            </w:r>
          </w:p>
        </w:tc>
        <w:tc>
          <w:tcPr>
            <w:tcW w:w="2358" w:type="dxa"/>
          </w:tcPr>
          <w:p w14:paraId="10489A6F" w14:textId="2824F0CD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15.7%</w:t>
            </w:r>
          </w:p>
        </w:tc>
      </w:tr>
      <w:tr w:rsidR="008E4366" w:rsidRPr="00F729F2" w14:paraId="756FEDAE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8FECB52" w14:textId="503ED522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01CAB586" w14:textId="70393C60" w:rsidR="008E4366" w:rsidRPr="00F729F2" w:rsidRDefault="008E4366" w:rsidP="009833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摩根基金 </w:t>
            </w:r>
            <w:r w:rsidR="0098331C" w:rsidRPr="00F729F2">
              <w:rPr>
                <w:rFonts w:asciiTheme="minorEastAsia" w:eastAsiaTheme="minorEastAsia" w:hAnsiTheme="minorEastAsia"/>
                <w:szCs w:val="21"/>
              </w:rPr>
              <w:t>–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8331C" w:rsidRPr="00F729F2">
              <w:rPr>
                <w:rFonts w:asciiTheme="minorEastAsia" w:eastAsiaTheme="minorEastAsia" w:hAnsiTheme="minorEastAsia" w:hint="eastAsia"/>
                <w:szCs w:val="21"/>
              </w:rPr>
              <w:t>中国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29A03" w14:textId="3EB614EF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4,226,667.18 </w:t>
            </w:r>
          </w:p>
        </w:tc>
        <w:tc>
          <w:tcPr>
            <w:tcW w:w="2358" w:type="dxa"/>
          </w:tcPr>
          <w:p w14:paraId="70FB581B" w14:textId="48BBB919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8.0%</w:t>
            </w:r>
          </w:p>
        </w:tc>
      </w:tr>
      <w:tr w:rsidR="008E4366" w:rsidRPr="00F729F2" w14:paraId="18EF253D" w14:textId="77777777" w:rsidTr="003A519E">
        <w:trPr>
          <w:trHeight w:val="692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1FE1F60" w14:textId="0C289CDA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6D0686C1" w14:textId="1EB85FD1" w:rsidR="008E4366" w:rsidRPr="00F729F2" w:rsidRDefault="008E4366" w:rsidP="008E43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摩根印度基金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C94FF" w14:textId="2338EC83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3,937,281.30 </w:t>
            </w:r>
          </w:p>
        </w:tc>
        <w:tc>
          <w:tcPr>
            <w:tcW w:w="2358" w:type="dxa"/>
          </w:tcPr>
          <w:p w14:paraId="169CD048" w14:textId="05C69A6D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7.4%</w:t>
            </w:r>
          </w:p>
        </w:tc>
      </w:tr>
      <w:tr w:rsidR="008E4366" w:rsidRPr="00F729F2" w14:paraId="7CA1BF74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97448CA" w14:textId="79ED436B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6D1926A0" w14:textId="548FA2AF" w:rsidR="008E4366" w:rsidRPr="00F729F2" w:rsidRDefault="008E4366" w:rsidP="008E43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摩根澳洲基金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BBFA2" w14:textId="125B6EDD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3,643,599.97 </w:t>
            </w:r>
          </w:p>
        </w:tc>
        <w:tc>
          <w:tcPr>
            <w:tcW w:w="2358" w:type="dxa"/>
          </w:tcPr>
          <w:p w14:paraId="07239F45" w14:textId="460A9C09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6.9%</w:t>
            </w:r>
          </w:p>
        </w:tc>
      </w:tr>
      <w:tr w:rsidR="008E4366" w:rsidRPr="00F729F2" w14:paraId="6D12D0AE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AB77B" w14:textId="74A9F751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3B9DCAB7" w14:textId="3B2250CD" w:rsidR="008E4366" w:rsidRPr="00F729F2" w:rsidRDefault="008E4366" w:rsidP="008E43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摩根基金 </w:t>
            </w:r>
            <w:r w:rsidR="0098331C" w:rsidRPr="00F729F2">
              <w:rPr>
                <w:rFonts w:asciiTheme="minorEastAsia" w:eastAsiaTheme="minorEastAsia" w:hAnsiTheme="minorEastAsia"/>
                <w:szCs w:val="21"/>
              </w:rPr>
              <w:t>–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8331C" w:rsidRPr="00F729F2">
              <w:rPr>
                <w:rFonts w:asciiTheme="minorEastAsia" w:eastAsiaTheme="minorEastAsia" w:hAnsiTheme="minorEastAsia" w:hint="eastAsia"/>
                <w:szCs w:val="21"/>
              </w:rPr>
              <w:t>台湾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6B0F0" w14:textId="335B951A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3,515,001.70 </w:t>
            </w:r>
          </w:p>
        </w:tc>
        <w:tc>
          <w:tcPr>
            <w:tcW w:w="2358" w:type="dxa"/>
          </w:tcPr>
          <w:p w14:paraId="776EB496" w14:textId="064DCF42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6.6%</w:t>
            </w:r>
          </w:p>
        </w:tc>
      </w:tr>
      <w:tr w:rsidR="008E4366" w:rsidRPr="00F729F2" w14:paraId="62FA083B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5DC9C86" w14:textId="54F24EC6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7B6D7726" w14:textId="21B9008C" w:rsidR="008E4366" w:rsidRPr="00F729F2" w:rsidRDefault="008E4366" w:rsidP="008E436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摩根印尼基金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0EF08" w14:textId="0AA0AEE9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2,810,018.03 </w:t>
            </w:r>
          </w:p>
        </w:tc>
        <w:tc>
          <w:tcPr>
            <w:tcW w:w="2358" w:type="dxa"/>
          </w:tcPr>
          <w:p w14:paraId="3A5ED40F" w14:textId="5845315D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5.3%</w:t>
            </w:r>
          </w:p>
        </w:tc>
      </w:tr>
      <w:tr w:rsidR="008E4366" w:rsidRPr="00F729F2" w14:paraId="667AD9AC" w14:textId="77777777" w:rsidTr="003A519E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D1AB5E6" w14:textId="4A5F44FE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74C0F2B2" w14:textId="54132D92" w:rsidR="008E4366" w:rsidRPr="00F729F2" w:rsidRDefault="008E4366" w:rsidP="009833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摩根</w:t>
            </w:r>
            <w:r w:rsidR="0098331C" w:rsidRPr="00F729F2">
              <w:rPr>
                <w:rFonts w:asciiTheme="minorEastAsia" w:eastAsiaTheme="minorEastAsia" w:hAnsiTheme="minorEastAsia" w:hint="eastAsia"/>
                <w:szCs w:val="21"/>
              </w:rPr>
              <w:t>亚洲小型企业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B9512" w14:textId="43483086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2,154,988.82 </w:t>
            </w:r>
          </w:p>
        </w:tc>
        <w:tc>
          <w:tcPr>
            <w:tcW w:w="2358" w:type="dxa"/>
          </w:tcPr>
          <w:p w14:paraId="08029781" w14:textId="4621C1AA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4.1%</w:t>
            </w:r>
          </w:p>
        </w:tc>
      </w:tr>
      <w:tr w:rsidR="008E4366" w:rsidRPr="00F729F2" w14:paraId="1CAE999F" w14:textId="77777777" w:rsidTr="003A519E">
        <w:trPr>
          <w:trHeight w:val="561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1FD82F7" w14:textId="1554A401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14:paraId="4595EB49" w14:textId="19659D5C" w:rsidR="008E4366" w:rsidRPr="00F729F2" w:rsidRDefault="008E4366" w:rsidP="0098331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摩根基金 </w:t>
            </w:r>
            <w:r w:rsidR="0098331C" w:rsidRPr="00F729F2">
              <w:rPr>
                <w:rFonts w:asciiTheme="minorEastAsia" w:eastAsiaTheme="minorEastAsia" w:hAnsiTheme="minorEastAsia"/>
                <w:szCs w:val="21"/>
              </w:rPr>
              <w:t>–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proofErr w:type="gramStart"/>
            <w:r w:rsidR="0098331C" w:rsidRPr="00F729F2">
              <w:rPr>
                <w:rFonts w:asciiTheme="minorEastAsia" w:eastAsiaTheme="minorEastAsia" w:hAnsiTheme="minorEastAsia" w:hint="eastAsia"/>
                <w:szCs w:val="21"/>
              </w:rPr>
              <w:t>东协</w:t>
            </w:r>
            <w:r w:rsidRPr="00F729F2">
              <w:rPr>
                <w:rFonts w:asciiTheme="minorEastAsia" w:eastAsiaTheme="minorEastAsia" w:hAnsiTheme="minorEastAsia" w:hint="eastAsia"/>
                <w:szCs w:val="21"/>
              </w:rPr>
              <w:t>股票</w:t>
            </w:r>
            <w:proofErr w:type="gramEnd"/>
            <w:r w:rsidRPr="00F729F2">
              <w:rPr>
                <w:rFonts w:asciiTheme="minorEastAsia" w:eastAsiaTheme="minorEastAsia" w:hAnsiTheme="minorEastAsia" w:hint="eastAsia"/>
                <w:szCs w:val="21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03A25" w14:textId="30F93428" w:rsidR="008E4366" w:rsidRPr="00F729F2" w:rsidRDefault="008E4366" w:rsidP="008E43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 xml:space="preserve"> 2,103,284.36 </w:t>
            </w:r>
          </w:p>
        </w:tc>
        <w:tc>
          <w:tcPr>
            <w:tcW w:w="2358" w:type="dxa"/>
          </w:tcPr>
          <w:p w14:paraId="23736320" w14:textId="768A6BC5" w:rsidR="008E4366" w:rsidRPr="00F729F2" w:rsidRDefault="008E4366" w:rsidP="008E43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9F2">
              <w:rPr>
                <w:rFonts w:asciiTheme="minorEastAsia" w:eastAsiaTheme="minorEastAsia" w:hAnsiTheme="minorEastAsia" w:hint="eastAsia"/>
                <w:szCs w:val="21"/>
              </w:rPr>
              <w:t>4.0%</w:t>
            </w:r>
          </w:p>
        </w:tc>
      </w:tr>
    </w:tbl>
    <w:p w14:paraId="714817D0" w14:textId="6CC270AE" w:rsidR="00C85517" w:rsidRPr="00F729F2" w:rsidRDefault="0030248E" w:rsidP="00456670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F729F2">
        <w:rPr>
          <w:rFonts w:asciiTheme="minorEastAsia" w:eastAsiaTheme="minorEastAsia" w:hAnsiTheme="minorEastAsia" w:hint="eastAsia"/>
          <w:color w:val="000000" w:themeColor="text1"/>
          <w:szCs w:val="21"/>
        </w:rPr>
        <w:t>注：本表列示穿透后投资规模</w:t>
      </w:r>
      <w:proofErr w:type="gramStart"/>
      <w:r w:rsidRPr="00F729F2">
        <w:rPr>
          <w:rFonts w:asciiTheme="minorEastAsia" w:eastAsiaTheme="minorEastAsia" w:hAnsiTheme="minorEastAsia" w:hint="eastAsia"/>
          <w:color w:val="000000" w:themeColor="text1"/>
          <w:szCs w:val="21"/>
        </w:rPr>
        <w:t>占比较</w:t>
      </w:r>
      <w:proofErr w:type="gramEnd"/>
      <w:r w:rsidRPr="00F729F2">
        <w:rPr>
          <w:rFonts w:asciiTheme="minorEastAsia" w:eastAsiaTheme="minorEastAsia" w:hAnsiTheme="minorEastAsia" w:hint="eastAsia"/>
          <w:color w:val="000000" w:themeColor="text1"/>
          <w:szCs w:val="21"/>
        </w:rPr>
        <w:t>高的前十项资产</w:t>
      </w:r>
    </w:p>
    <w:p w14:paraId="75C68976" w14:textId="4FB59AA0" w:rsidR="00C715DB" w:rsidRPr="00212E26" w:rsidRDefault="0030248E" w:rsidP="00212E2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五、风险分析</w:t>
      </w:r>
    </w:p>
    <w:p w14:paraId="5C945A4B" w14:textId="34C2BAD0" w:rsidR="009E48DB" w:rsidRPr="00212E26" w:rsidRDefault="0030248E" w:rsidP="00212E2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（一）产品的流动性风险情况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8C3444" w:rsidRPr="00212E26" w14:paraId="64E78E7D" w14:textId="77777777" w:rsidTr="00630865">
        <w:trPr>
          <w:trHeight w:val="518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C6" w14:textId="15A5450C" w:rsidR="00C72B3E" w:rsidRPr="00212E26" w:rsidRDefault="00A36BF3" w:rsidP="00630865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产品根据客户的</w:t>
            </w:r>
            <w:proofErr w:type="gramStart"/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申赎情况</w:t>
            </w:r>
            <w:proofErr w:type="gramEnd"/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进行了合理的资产配置以管理流动性风险。第一基金中的基金组合及底层基金均保留了足够的现金</w:t>
            </w:r>
            <w:proofErr w:type="gramStart"/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仓位</w:t>
            </w:r>
            <w:proofErr w:type="gramEnd"/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以及高流动性资产。第二严格控制产品持有股票的规模及流动性。第三严格控制流动性受限资产的投资比例，从而确保产品资产变现能力和赎回需求的匹配与平衡。</w:t>
            </w:r>
          </w:p>
        </w:tc>
      </w:tr>
    </w:tbl>
    <w:p w14:paraId="22523418" w14:textId="1D0D05FB" w:rsidR="00C715DB" w:rsidRPr="00212E26" w:rsidRDefault="0030248E" w:rsidP="00212E26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（二）产品的投资风险情况</w:t>
      </w:r>
    </w:p>
    <w:p w14:paraId="46A538A9" w14:textId="0A9A7A79" w:rsidR="00C715DB" w:rsidRPr="00212E26" w:rsidRDefault="0030248E" w:rsidP="00212E26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/>
          <w:color w:val="000000" w:themeColor="text1"/>
          <w:sz w:val="28"/>
          <w:szCs w:val="28"/>
        </w:rPr>
        <w:t>1.</w:t>
      </w:r>
      <w:r w:rsidRPr="00212E2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产品债券持仓风险及价格波动情况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7"/>
      </w:tblGrid>
      <w:tr w:rsidR="008C3444" w:rsidRPr="00212E26" w14:paraId="5E7F0BC6" w14:textId="77777777" w:rsidTr="00965BCA">
        <w:trPr>
          <w:trHeight w:val="476"/>
        </w:trPr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39" w14:textId="516F6DEB" w:rsidR="00C715DB" w:rsidRPr="00212E26" w:rsidRDefault="0030248E" w:rsidP="005A08A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此产品只投资于集体投资计划，并不直接投资于股票及债券</w:t>
            </w:r>
          </w:p>
        </w:tc>
      </w:tr>
    </w:tbl>
    <w:p w14:paraId="4AF3A37D" w14:textId="6BB5D439" w:rsidR="002A2DCC" w:rsidRPr="00212E26" w:rsidRDefault="0030248E" w:rsidP="00212E26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212E2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产品股票持仓风险及价格波动情况（针对权益类及混合类产品）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2"/>
      </w:tblGrid>
      <w:tr w:rsidR="008C3444" w:rsidRPr="00212E26" w14:paraId="7CCDD3B8" w14:textId="77777777" w:rsidTr="00965BCA">
        <w:trPr>
          <w:trHeight w:val="494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418" w14:textId="77777777" w:rsidR="00C715DB" w:rsidRPr="00212E26" w:rsidRDefault="0030248E" w:rsidP="005A08A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此产品只投资于集体投资计划，并不直接投资于股票及债券</w:t>
            </w:r>
          </w:p>
          <w:p w14:paraId="7FD3D636" w14:textId="58B994DC" w:rsidR="00492477" w:rsidRPr="00212E26" w:rsidRDefault="00492477" w:rsidP="0098331C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产品</w:t>
            </w:r>
            <w:proofErr w:type="gramStart"/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年化</w:t>
            </w:r>
            <w:r w:rsidRPr="00212E26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波动</w:t>
            </w:r>
            <w:proofErr w:type="gramEnd"/>
            <w:r w:rsidRPr="00212E26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度</w:t>
            </w:r>
            <w:r w:rsidR="0098331C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为</w:t>
            </w:r>
            <w:r w:rsidR="00A36BF3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1年</w:t>
            </w:r>
            <w:r w:rsidR="00910FDE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="008E4366" w:rsidRPr="00212E26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</w:t>
            </w:r>
            <w:r w:rsidR="00910FDE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.</w:t>
            </w:r>
            <w:r w:rsidR="008E4366" w:rsidRPr="00212E26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12</w:t>
            </w:r>
            <w:r w:rsidR="00A36BF3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%</w:t>
            </w:r>
            <w:r w:rsidR="00DE3CB0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、</w:t>
            </w:r>
            <w:r w:rsidR="00A36BF3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3年</w:t>
            </w:r>
            <w:r w:rsidR="001F6F96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16.</w:t>
            </w:r>
            <w:r w:rsidR="008E4366" w:rsidRPr="00212E26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89</w:t>
            </w:r>
            <w:r w:rsidR="00A36BF3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%及</w:t>
            </w:r>
            <w:r w:rsidR="001C21CB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成立</w:t>
            </w:r>
            <w:r w:rsidR="0098331C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以来</w:t>
            </w:r>
            <w:r w:rsidR="00BC0EA4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16.</w:t>
            </w:r>
            <w:r w:rsidR="008E4366" w:rsidRPr="00212E26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65</w:t>
            </w:r>
            <w:r w:rsidR="001C21CB"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%</w:t>
            </w:r>
            <w:r w:rsidR="001C21CB" w:rsidRPr="00212E26" w:rsidDel="00A36BF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F402EA7" w14:textId="222D0A56" w:rsidR="002A2DCC" w:rsidRPr="00212E26" w:rsidRDefault="0030248E" w:rsidP="00212E26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/>
          <w:color w:val="000000" w:themeColor="text1"/>
          <w:sz w:val="28"/>
          <w:szCs w:val="28"/>
        </w:rPr>
        <w:t>3.</w:t>
      </w:r>
      <w:r w:rsidRPr="00212E2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产品衍生品持仓风险及公允价值变动情况（针对商品及金融衍生品类与混合类产品）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C3444" w:rsidRPr="00212E26" w14:paraId="3B44FCDC" w14:textId="77777777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3C3" w14:textId="63592B7A" w:rsidR="00C715DB" w:rsidRPr="00212E26" w:rsidRDefault="008C3444" w:rsidP="005A08A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212E26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不涉及</w:t>
            </w:r>
          </w:p>
        </w:tc>
      </w:tr>
    </w:tbl>
    <w:p w14:paraId="3B337637" w14:textId="5B445A84" w:rsidR="008B49F2" w:rsidRPr="00212E26" w:rsidRDefault="00965BCA" w:rsidP="00212E2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六</w:t>
      </w:r>
      <w:r w:rsidR="0030248E"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C3444" w:rsidRPr="00F729F2" w14:paraId="6A604EC6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404AFB24" w14:textId="0E4A60ED" w:rsidR="008B49F2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179161C8" w14:textId="65107455" w:rsidR="008B49F2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3F60F6FE" w14:textId="4C71E911" w:rsidR="008B49F2" w:rsidRPr="00F729F2" w:rsidRDefault="0030248E" w:rsidP="000C4729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05F0571A" w14:textId="2D303648" w:rsidR="008B49F2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04A3857" w14:textId="52321F9E" w:rsidR="008B49F2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开户单位</w:t>
            </w:r>
          </w:p>
        </w:tc>
      </w:tr>
      <w:tr w:rsidR="008C3444" w:rsidRPr="00F729F2" w14:paraId="4D0F6122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0BBAF4CC" w14:textId="10238681" w:rsidR="008B49F2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E4DFB0C" w14:textId="0AB653FC" w:rsidR="008B49F2" w:rsidRPr="00F729F2" w:rsidRDefault="001E3C19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30A4B308" w14:textId="21CFEDDE" w:rsidR="008B49F2" w:rsidRPr="00F729F2" w:rsidRDefault="001E3C19" w:rsidP="000C4729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310066661146510001208</w:t>
            </w:r>
          </w:p>
        </w:tc>
        <w:tc>
          <w:tcPr>
            <w:tcW w:w="1843" w:type="dxa"/>
            <w:vAlign w:val="center"/>
          </w:tcPr>
          <w:p w14:paraId="3975122C" w14:textId="312D7BBF" w:rsidR="008B49F2" w:rsidRPr="00F729F2" w:rsidRDefault="001E3C19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中国建设银行－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海盈２号</w:t>
            </w:r>
            <w:proofErr w:type="gramEnd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代客境外理财计划交行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5B46FAC6" w14:textId="38F9F6E1" w:rsidR="008B49F2" w:rsidRPr="00F729F2" w:rsidRDefault="001E3C19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交通银行上海市分行营业部</w:t>
            </w:r>
          </w:p>
        </w:tc>
      </w:tr>
      <w:tr w:rsidR="008C3444" w:rsidRPr="00F729F2" w14:paraId="581D7DCA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620E4212" w14:textId="1A28D1F7" w:rsidR="008B49F2" w:rsidRPr="00F729F2" w:rsidRDefault="0030248E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58099BE2" w14:textId="145EC051" w:rsidR="008B49F2" w:rsidRPr="00F729F2" w:rsidRDefault="001E3C19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03AE03CC" w14:textId="1C4ECEC0" w:rsidR="008B49F2" w:rsidRPr="00F729F2" w:rsidRDefault="001E3C19" w:rsidP="000C4729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310066726018170040633</w:t>
            </w:r>
          </w:p>
        </w:tc>
        <w:tc>
          <w:tcPr>
            <w:tcW w:w="1843" w:type="dxa"/>
            <w:vAlign w:val="center"/>
          </w:tcPr>
          <w:p w14:paraId="45D462A7" w14:textId="02EF5809" w:rsidR="008B49F2" w:rsidRPr="00F729F2" w:rsidRDefault="001E3C19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中国建设银行－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海盈２号</w:t>
            </w:r>
            <w:proofErr w:type="gramEnd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代客境外理财计划交行</w:t>
            </w:r>
            <w:proofErr w:type="gramStart"/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7FD98DAF" w14:textId="5DFEF213" w:rsidR="008B49F2" w:rsidRPr="00F729F2" w:rsidRDefault="001E3C19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729F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交通银行上海市分行第一支行</w:t>
            </w:r>
          </w:p>
        </w:tc>
      </w:tr>
    </w:tbl>
    <w:p w14:paraId="0AB17B7A" w14:textId="14BD50C3" w:rsidR="00AD7F0D" w:rsidRPr="00212E26" w:rsidRDefault="00965BCA" w:rsidP="00212E2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</w:t>
      </w:r>
      <w:r w:rsidR="0030248E"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、报告期内关联交易情况</w:t>
      </w:r>
    </w:p>
    <w:p w14:paraId="55DAAF84" w14:textId="09A2F131" w:rsidR="00AD7F0D" w:rsidRPr="00212E26" w:rsidRDefault="0030248E" w:rsidP="00212E2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（一）产品持有关联</w:t>
      </w:r>
      <w:proofErr w:type="gramStart"/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方发行</w:t>
      </w:r>
      <w:proofErr w:type="gramEnd"/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或承销的证券</w:t>
      </w:r>
    </w:p>
    <w:p w14:paraId="1BD668EB" w14:textId="0B83BB8B" w:rsidR="008B7816" w:rsidRPr="00212E26" w:rsidRDefault="008B7816" w:rsidP="00212E2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无</w:t>
      </w:r>
    </w:p>
    <w:p w14:paraId="40992704" w14:textId="0FD69791" w:rsidR="00AD7F0D" w:rsidRPr="00212E26" w:rsidRDefault="0030248E" w:rsidP="00212E2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（二）其他重大关联交易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444" w:rsidRPr="00F729F2" w14:paraId="4F908681" w14:textId="77777777" w:rsidTr="00AD7F0D">
        <w:tc>
          <w:tcPr>
            <w:tcW w:w="8522" w:type="dxa"/>
          </w:tcPr>
          <w:p w14:paraId="4E7A941A" w14:textId="6EE5D803" w:rsidR="00AD7F0D" w:rsidRPr="00F729F2" w:rsidRDefault="008C3444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 w:themeColor="text1"/>
                <w:szCs w:val="21"/>
                <w:lang w:val="x-none"/>
              </w:rPr>
            </w:pPr>
            <w:r w:rsidRPr="00F729F2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val="x-none"/>
              </w:rPr>
              <w:t>无</w:t>
            </w:r>
          </w:p>
        </w:tc>
      </w:tr>
    </w:tbl>
    <w:p w14:paraId="20B90DC3" w14:textId="77777777" w:rsidR="008C3444" w:rsidRPr="00212E26" w:rsidRDefault="008C3444" w:rsidP="00212E2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八、投资非标准化债权及股权类资产清单</w:t>
      </w:r>
    </w:p>
    <w:p w14:paraId="4E39F6AC" w14:textId="1F8C8A4F" w:rsidR="008C3444" w:rsidRPr="00212E26" w:rsidRDefault="008C3444" w:rsidP="00212E26">
      <w:pPr>
        <w:ind w:firstLineChars="200" w:firstLine="56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不涉及</w:t>
      </w:r>
    </w:p>
    <w:p w14:paraId="65834F7D" w14:textId="235E9C77" w:rsidR="00747E15" w:rsidRPr="00212E26" w:rsidRDefault="008C3444" w:rsidP="00212E2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九</w:t>
      </w:r>
      <w:r w:rsidR="0030248E" w:rsidRPr="00212E26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、产品整体运作情况</w:t>
      </w:r>
    </w:p>
    <w:p w14:paraId="798D4CBE" w14:textId="075569DF" w:rsidR="00F33FC4" w:rsidRPr="00212E26" w:rsidRDefault="0030248E" w:rsidP="00212E26">
      <w:pPr>
        <w:ind w:firstLineChars="200" w:firstLine="56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3CC6092A" w14:textId="7DA92465" w:rsidR="00F33FC4" w:rsidRPr="00212E26" w:rsidRDefault="0030248E" w:rsidP="00212E26">
      <w:pPr>
        <w:ind w:firstLineChars="200" w:firstLine="56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（二）截至本报告日，所有投资资产正常运营，未发现有异常情况或不利情况。</w:t>
      </w:r>
    </w:p>
    <w:p w14:paraId="145A58B7" w14:textId="04F1D6AB" w:rsidR="00F33FC4" w:rsidRPr="00212E26" w:rsidRDefault="0030248E" w:rsidP="00212E26">
      <w:pPr>
        <w:ind w:firstLineChars="200" w:firstLine="56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（三）本产品自成立至本报告日，没有发生涉诉及诉讼等损害投资者利益的情况。</w:t>
      </w:r>
    </w:p>
    <w:p w14:paraId="690A30C1" w14:textId="407FFDE6" w:rsidR="00747E15" w:rsidRPr="00212E26" w:rsidRDefault="0030248E" w:rsidP="00212E26">
      <w:pPr>
        <w:ind w:firstLineChars="200" w:firstLine="56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特此公告</w:t>
      </w:r>
      <w:r w:rsidR="00747E15"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 xml:space="preserve">               </w:t>
      </w:r>
    </w:p>
    <w:p w14:paraId="46FD58DE" w14:textId="6B9B4534" w:rsidR="00747E15" w:rsidRPr="00212E26" w:rsidRDefault="0030248E" w:rsidP="00212E26">
      <w:pPr>
        <w:spacing w:line="480" w:lineRule="exact"/>
        <w:ind w:firstLineChars="200" w:firstLine="56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 xml:space="preserve">        </w:t>
      </w:r>
      <w:r w:rsid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 xml:space="preserve">                              </w:t>
      </w:r>
      <w:bookmarkStart w:id="0" w:name="_GoBack"/>
      <w:bookmarkEnd w:id="0"/>
      <w:r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中国建设银行</w:t>
      </w:r>
    </w:p>
    <w:p w14:paraId="0047270D" w14:textId="5256B9A2" w:rsidR="00747E15" w:rsidRPr="00212E26" w:rsidRDefault="008C3444" w:rsidP="00212E26">
      <w:pPr>
        <w:spacing w:line="480" w:lineRule="exact"/>
        <w:ind w:right="362" w:firstLineChars="2000" w:firstLine="560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>20</w:t>
      </w:r>
      <w:r w:rsidR="000813D6" w:rsidRP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>20</w:t>
      </w:r>
      <w:r w:rsidR="0030248E"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年</w:t>
      </w:r>
      <w:r w:rsidR="000813D6" w:rsidRP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>0</w:t>
      </w:r>
      <w:r w:rsidR="008E4366" w:rsidRP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>7</w:t>
      </w:r>
      <w:r w:rsidR="0030248E"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月</w:t>
      </w:r>
      <w:r w:rsidR="001F6F96"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3</w:t>
      </w:r>
      <w:r w:rsidR="008E4366" w:rsidRPr="00212E26"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  <w:t>1</w:t>
      </w:r>
      <w:r w:rsidR="0030248E" w:rsidRPr="00212E26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日</w:t>
      </w:r>
    </w:p>
    <w:p w14:paraId="45CE51FF" w14:textId="054D12F3" w:rsidR="00783ADA" w:rsidRPr="00F729F2" w:rsidRDefault="00C85517" w:rsidP="00965BCA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F729F2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sectPr w:rsidR="00783ADA" w:rsidRPr="00F7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42034" w14:textId="77777777" w:rsidR="006D504B" w:rsidRDefault="006D504B" w:rsidP="00747E15">
      <w:r>
        <w:separator/>
      </w:r>
    </w:p>
  </w:endnote>
  <w:endnote w:type="continuationSeparator" w:id="0">
    <w:p w14:paraId="270A0A00" w14:textId="77777777" w:rsidR="006D504B" w:rsidRDefault="006D504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A97C4" w14:textId="77777777" w:rsidR="006D504B" w:rsidRDefault="006D504B" w:rsidP="00747E15">
      <w:r>
        <w:separator/>
      </w:r>
    </w:p>
  </w:footnote>
  <w:footnote w:type="continuationSeparator" w:id="0">
    <w:p w14:paraId="1F89DDC1" w14:textId="77777777" w:rsidR="006D504B" w:rsidRDefault="006D504B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892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5FAF"/>
    <w:rsid w:val="000813D6"/>
    <w:rsid w:val="000906F5"/>
    <w:rsid w:val="00090B3A"/>
    <w:rsid w:val="000919C1"/>
    <w:rsid w:val="00097911"/>
    <w:rsid w:val="000A5282"/>
    <w:rsid w:val="000A58C0"/>
    <w:rsid w:val="000A7A07"/>
    <w:rsid w:val="000B2257"/>
    <w:rsid w:val="000B6D04"/>
    <w:rsid w:val="000C46B7"/>
    <w:rsid w:val="000C4DDB"/>
    <w:rsid w:val="000D16D7"/>
    <w:rsid w:val="000E1C0D"/>
    <w:rsid w:val="000F4ED6"/>
    <w:rsid w:val="000F5937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4B35"/>
    <w:rsid w:val="0019525A"/>
    <w:rsid w:val="001A1254"/>
    <w:rsid w:val="001A1F0C"/>
    <w:rsid w:val="001A204D"/>
    <w:rsid w:val="001A531D"/>
    <w:rsid w:val="001C1C74"/>
    <w:rsid w:val="001C207C"/>
    <w:rsid w:val="001C21CB"/>
    <w:rsid w:val="001C51CC"/>
    <w:rsid w:val="001D0D1C"/>
    <w:rsid w:val="001E0ABA"/>
    <w:rsid w:val="001E3C19"/>
    <w:rsid w:val="001E60BC"/>
    <w:rsid w:val="001E70EA"/>
    <w:rsid w:val="001F3D33"/>
    <w:rsid w:val="001F4173"/>
    <w:rsid w:val="001F6F96"/>
    <w:rsid w:val="00202B18"/>
    <w:rsid w:val="00204CFF"/>
    <w:rsid w:val="00206C50"/>
    <w:rsid w:val="002118FD"/>
    <w:rsid w:val="00212278"/>
    <w:rsid w:val="00212E26"/>
    <w:rsid w:val="00215713"/>
    <w:rsid w:val="002227B3"/>
    <w:rsid w:val="002228F3"/>
    <w:rsid w:val="00225A63"/>
    <w:rsid w:val="00233ACD"/>
    <w:rsid w:val="00235CA1"/>
    <w:rsid w:val="00240A06"/>
    <w:rsid w:val="00240B03"/>
    <w:rsid w:val="00245012"/>
    <w:rsid w:val="00261C53"/>
    <w:rsid w:val="00264E8C"/>
    <w:rsid w:val="00266DC8"/>
    <w:rsid w:val="00272BBC"/>
    <w:rsid w:val="00272D45"/>
    <w:rsid w:val="002767A0"/>
    <w:rsid w:val="00280583"/>
    <w:rsid w:val="00285C70"/>
    <w:rsid w:val="00286C46"/>
    <w:rsid w:val="002900EE"/>
    <w:rsid w:val="00292733"/>
    <w:rsid w:val="00292DB5"/>
    <w:rsid w:val="00293553"/>
    <w:rsid w:val="002974F6"/>
    <w:rsid w:val="002A0C80"/>
    <w:rsid w:val="002A2DCC"/>
    <w:rsid w:val="002A3150"/>
    <w:rsid w:val="002B1B4E"/>
    <w:rsid w:val="002E0EA8"/>
    <w:rsid w:val="002F02E2"/>
    <w:rsid w:val="002F21B2"/>
    <w:rsid w:val="0030248E"/>
    <w:rsid w:val="00305DE3"/>
    <w:rsid w:val="00326849"/>
    <w:rsid w:val="00332886"/>
    <w:rsid w:val="00333409"/>
    <w:rsid w:val="00346C2E"/>
    <w:rsid w:val="00362C42"/>
    <w:rsid w:val="003729DF"/>
    <w:rsid w:val="00373677"/>
    <w:rsid w:val="0039500D"/>
    <w:rsid w:val="003A519E"/>
    <w:rsid w:val="003C07A4"/>
    <w:rsid w:val="003D3F6C"/>
    <w:rsid w:val="003E0232"/>
    <w:rsid w:val="003E4D8B"/>
    <w:rsid w:val="003E5446"/>
    <w:rsid w:val="00404027"/>
    <w:rsid w:val="004118B6"/>
    <w:rsid w:val="00417D2B"/>
    <w:rsid w:val="004340C8"/>
    <w:rsid w:val="00437C59"/>
    <w:rsid w:val="00446C31"/>
    <w:rsid w:val="00451B06"/>
    <w:rsid w:val="004540EE"/>
    <w:rsid w:val="00456670"/>
    <w:rsid w:val="00466029"/>
    <w:rsid w:val="00467A3A"/>
    <w:rsid w:val="004738BC"/>
    <w:rsid w:val="0048507A"/>
    <w:rsid w:val="00491FFA"/>
    <w:rsid w:val="00492477"/>
    <w:rsid w:val="00492D08"/>
    <w:rsid w:val="00495958"/>
    <w:rsid w:val="004A0D18"/>
    <w:rsid w:val="004A1299"/>
    <w:rsid w:val="004A39A1"/>
    <w:rsid w:val="004A7B18"/>
    <w:rsid w:val="004B773D"/>
    <w:rsid w:val="004B78FA"/>
    <w:rsid w:val="004C1B42"/>
    <w:rsid w:val="004C2FFD"/>
    <w:rsid w:val="004C54B2"/>
    <w:rsid w:val="004C5910"/>
    <w:rsid w:val="004D5435"/>
    <w:rsid w:val="004D6FF3"/>
    <w:rsid w:val="004D72CA"/>
    <w:rsid w:val="004E116C"/>
    <w:rsid w:val="00504B4A"/>
    <w:rsid w:val="00505CB5"/>
    <w:rsid w:val="00544DD0"/>
    <w:rsid w:val="00545580"/>
    <w:rsid w:val="00553503"/>
    <w:rsid w:val="00556FF5"/>
    <w:rsid w:val="00574C73"/>
    <w:rsid w:val="00575AC8"/>
    <w:rsid w:val="00581772"/>
    <w:rsid w:val="00584D88"/>
    <w:rsid w:val="00586848"/>
    <w:rsid w:val="005902E2"/>
    <w:rsid w:val="005965D6"/>
    <w:rsid w:val="00597BF0"/>
    <w:rsid w:val="005A7896"/>
    <w:rsid w:val="005A7E4B"/>
    <w:rsid w:val="005C491D"/>
    <w:rsid w:val="005D075A"/>
    <w:rsid w:val="005E1AF9"/>
    <w:rsid w:val="005F0968"/>
    <w:rsid w:val="005F4A4D"/>
    <w:rsid w:val="00605150"/>
    <w:rsid w:val="00610506"/>
    <w:rsid w:val="00630865"/>
    <w:rsid w:val="006317AB"/>
    <w:rsid w:val="006318C9"/>
    <w:rsid w:val="006342A8"/>
    <w:rsid w:val="006350AB"/>
    <w:rsid w:val="00637ADC"/>
    <w:rsid w:val="00651346"/>
    <w:rsid w:val="00657E0A"/>
    <w:rsid w:val="00660E94"/>
    <w:rsid w:val="0066205E"/>
    <w:rsid w:val="006670AB"/>
    <w:rsid w:val="006761CD"/>
    <w:rsid w:val="00676DD6"/>
    <w:rsid w:val="00683BD5"/>
    <w:rsid w:val="00690080"/>
    <w:rsid w:val="00691D50"/>
    <w:rsid w:val="006965E7"/>
    <w:rsid w:val="006A3291"/>
    <w:rsid w:val="006B140A"/>
    <w:rsid w:val="006B7D67"/>
    <w:rsid w:val="006C418D"/>
    <w:rsid w:val="006D1B33"/>
    <w:rsid w:val="006D216F"/>
    <w:rsid w:val="006D3D24"/>
    <w:rsid w:val="006D504B"/>
    <w:rsid w:val="006D509E"/>
    <w:rsid w:val="006F03B9"/>
    <w:rsid w:val="006F51AA"/>
    <w:rsid w:val="006F71EC"/>
    <w:rsid w:val="0070255B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4D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1D7"/>
    <w:rsid w:val="007B72B7"/>
    <w:rsid w:val="007C3A4B"/>
    <w:rsid w:val="007D06C2"/>
    <w:rsid w:val="007E674C"/>
    <w:rsid w:val="007F05DC"/>
    <w:rsid w:val="007F4653"/>
    <w:rsid w:val="007F486F"/>
    <w:rsid w:val="00803277"/>
    <w:rsid w:val="00803A6A"/>
    <w:rsid w:val="00806379"/>
    <w:rsid w:val="00806AB0"/>
    <w:rsid w:val="00811BC2"/>
    <w:rsid w:val="00814FC5"/>
    <w:rsid w:val="00820930"/>
    <w:rsid w:val="00821DFE"/>
    <w:rsid w:val="00831D9D"/>
    <w:rsid w:val="00842AD9"/>
    <w:rsid w:val="00844195"/>
    <w:rsid w:val="0087773A"/>
    <w:rsid w:val="0088235C"/>
    <w:rsid w:val="00887E97"/>
    <w:rsid w:val="00892297"/>
    <w:rsid w:val="008A1C7A"/>
    <w:rsid w:val="008A3209"/>
    <w:rsid w:val="008A689A"/>
    <w:rsid w:val="008B01BE"/>
    <w:rsid w:val="008B42C5"/>
    <w:rsid w:val="008B49F2"/>
    <w:rsid w:val="008B6A38"/>
    <w:rsid w:val="008B7816"/>
    <w:rsid w:val="008C3444"/>
    <w:rsid w:val="008E0006"/>
    <w:rsid w:val="008E4366"/>
    <w:rsid w:val="008E7AFD"/>
    <w:rsid w:val="008F7A19"/>
    <w:rsid w:val="00900022"/>
    <w:rsid w:val="00907C16"/>
    <w:rsid w:val="00910FDE"/>
    <w:rsid w:val="00914F94"/>
    <w:rsid w:val="00920FF8"/>
    <w:rsid w:val="00923258"/>
    <w:rsid w:val="0092330C"/>
    <w:rsid w:val="00925096"/>
    <w:rsid w:val="00930283"/>
    <w:rsid w:val="0093043C"/>
    <w:rsid w:val="00930B50"/>
    <w:rsid w:val="00930D15"/>
    <w:rsid w:val="009331AC"/>
    <w:rsid w:val="00933ABD"/>
    <w:rsid w:val="00941557"/>
    <w:rsid w:val="00957B5C"/>
    <w:rsid w:val="00960A76"/>
    <w:rsid w:val="00961315"/>
    <w:rsid w:val="0096155A"/>
    <w:rsid w:val="00965BCA"/>
    <w:rsid w:val="0096707E"/>
    <w:rsid w:val="00976495"/>
    <w:rsid w:val="00977AA9"/>
    <w:rsid w:val="0098331C"/>
    <w:rsid w:val="00985B43"/>
    <w:rsid w:val="00985EA7"/>
    <w:rsid w:val="0099268F"/>
    <w:rsid w:val="00992C67"/>
    <w:rsid w:val="00994651"/>
    <w:rsid w:val="009A0441"/>
    <w:rsid w:val="009A1651"/>
    <w:rsid w:val="009A1E28"/>
    <w:rsid w:val="009A6E5F"/>
    <w:rsid w:val="009C482A"/>
    <w:rsid w:val="009D1164"/>
    <w:rsid w:val="009D69B6"/>
    <w:rsid w:val="009D6B1D"/>
    <w:rsid w:val="009D7BDC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36BF3"/>
    <w:rsid w:val="00A420E1"/>
    <w:rsid w:val="00A4578C"/>
    <w:rsid w:val="00A45DC6"/>
    <w:rsid w:val="00A66F45"/>
    <w:rsid w:val="00A735E4"/>
    <w:rsid w:val="00A74958"/>
    <w:rsid w:val="00A81AB5"/>
    <w:rsid w:val="00A82E23"/>
    <w:rsid w:val="00A84D8F"/>
    <w:rsid w:val="00A97E87"/>
    <w:rsid w:val="00AA7499"/>
    <w:rsid w:val="00AA7A9F"/>
    <w:rsid w:val="00AB1DD7"/>
    <w:rsid w:val="00AB48A1"/>
    <w:rsid w:val="00AB53D1"/>
    <w:rsid w:val="00AB6457"/>
    <w:rsid w:val="00AC0790"/>
    <w:rsid w:val="00AC12D7"/>
    <w:rsid w:val="00AC7CDE"/>
    <w:rsid w:val="00AD558F"/>
    <w:rsid w:val="00AD5E04"/>
    <w:rsid w:val="00AD7F0D"/>
    <w:rsid w:val="00AE2D52"/>
    <w:rsid w:val="00B020F5"/>
    <w:rsid w:val="00B06B93"/>
    <w:rsid w:val="00B15284"/>
    <w:rsid w:val="00B212C0"/>
    <w:rsid w:val="00B256B5"/>
    <w:rsid w:val="00B33523"/>
    <w:rsid w:val="00B4205F"/>
    <w:rsid w:val="00B42469"/>
    <w:rsid w:val="00B44990"/>
    <w:rsid w:val="00B466B4"/>
    <w:rsid w:val="00B530C4"/>
    <w:rsid w:val="00B55B4A"/>
    <w:rsid w:val="00B5636D"/>
    <w:rsid w:val="00B61145"/>
    <w:rsid w:val="00B670D1"/>
    <w:rsid w:val="00B71F10"/>
    <w:rsid w:val="00B72C4B"/>
    <w:rsid w:val="00B91971"/>
    <w:rsid w:val="00B93E97"/>
    <w:rsid w:val="00BA2D90"/>
    <w:rsid w:val="00BA58F5"/>
    <w:rsid w:val="00BB248B"/>
    <w:rsid w:val="00BC0EA4"/>
    <w:rsid w:val="00BC3C60"/>
    <w:rsid w:val="00BC6C87"/>
    <w:rsid w:val="00BD7B65"/>
    <w:rsid w:val="00BE070B"/>
    <w:rsid w:val="00BE1EDD"/>
    <w:rsid w:val="00BE5698"/>
    <w:rsid w:val="00BE6A47"/>
    <w:rsid w:val="00BF33D1"/>
    <w:rsid w:val="00BF403D"/>
    <w:rsid w:val="00BF6027"/>
    <w:rsid w:val="00BF7077"/>
    <w:rsid w:val="00C101CF"/>
    <w:rsid w:val="00C118E8"/>
    <w:rsid w:val="00C257ED"/>
    <w:rsid w:val="00C3379F"/>
    <w:rsid w:val="00C35086"/>
    <w:rsid w:val="00C561DF"/>
    <w:rsid w:val="00C61B7B"/>
    <w:rsid w:val="00C715DB"/>
    <w:rsid w:val="00C720CE"/>
    <w:rsid w:val="00C72B3E"/>
    <w:rsid w:val="00C8151A"/>
    <w:rsid w:val="00C85517"/>
    <w:rsid w:val="00C86E63"/>
    <w:rsid w:val="00C87125"/>
    <w:rsid w:val="00C918E2"/>
    <w:rsid w:val="00C91AB5"/>
    <w:rsid w:val="00C95779"/>
    <w:rsid w:val="00CA4F85"/>
    <w:rsid w:val="00CB3AEC"/>
    <w:rsid w:val="00CC0540"/>
    <w:rsid w:val="00CC33AD"/>
    <w:rsid w:val="00CC48F5"/>
    <w:rsid w:val="00CF395F"/>
    <w:rsid w:val="00CF3B2C"/>
    <w:rsid w:val="00CF4ED7"/>
    <w:rsid w:val="00D07160"/>
    <w:rsid w:val="00D1212F"/>
    <w:rsid w:val="00D137A7"/>
    <w:rsid w:val="00D160FD"/>
    <w:rsid w:val="00D23DE7"/>
    <w:rsid w:val="00D30981"/>
    <w:rsid w:val="00D32C1A"/>
    <w:rsid w:val="00D32D06"/>
    <w:rsid w:val="00D4526D"/>
    <w:rsid w:val="00D50E73"/>
    <w:rsid w:val="00D51247"/>
    <w:rsid w:val="00D5232C"/>
    <w:rsid w:val="00D570FB"/>
    <w:rsid w:val="00D57BDC"/>
    <w:rsid w:val="00D62D31"/>
    <w:rsid w:val="00D8116F"/>
    <w:rsid w:val="00D81C3A"/>
    <w:rsid w:val="00D8470D"/>
    <w:rsid w:val="00D939A3"/>
    <w:rsid w:val="00DA0E30"/>
    <w:rsid w:val="00DA5D3B"/>
    <w:rsid w:val="00DB4B6B"/>
    <w:rsid w:val="00DC041F"/>
    <w:rsid w:val="00DC0BC9"/>
    <w:rsid w:val="00DE3CB0"/>
    <w:rsid w:val="00DE7BE6"/>
    <w:rsid w:val="00DF020E"/>
    <w:rsid w:val="00DF32AC"/>
    <w:rsid w:val="00E01B82"/>
    <w:rsid w:val="00E028E0"/>
    <w:rsid w:val="00E07B12"/>
    <w:rsid w:val="00E160D9"/>
    <w:rsid w:val="00E24F4A"/>
    <w:rsid w:val="00E27018"/>
    <w:rsid w:val="00E31B0A"/>
    <w:rsid w:val="00E35A6C"/>
    <w:rsid w:val="00E40EB7"/>
    <w:rsid w:val="00E716F5"/>
    <w:rsid w:val="00E76F46"/>
    <w:rsid w:val="00E77447"/>
    <w:rsid w:val="00E9076E"/>
    <w:rsid w:val="00E935EE"/>
    <w:rsid w:val="00EA1F92"/>
    <w:rsid w:val="00EA7A9F"/>
    <w:rsid w:val="00EB262D"/>
    <w:rsid w:val="00EB5733"/>
    <w:rsid w:val="00EC16E4"/>
    <w:rsid w:val="00EC33D8"/>
    <w:rsid w:val="00EC4276"/>
    <w:rsid w:val="00ED276F"/>
    <w:rsid w:val="00EF05E2"/>
    <w:rsid w:val="00EF28D6"/>
    <w:rsid w:val="00F002DC"/>
    <w:rsid w:val="00F00768"/>
    <w:rsid w:val="00F20317"/>
    <w:rsid w:val="00F217C2"/>
    <w:rsid w:val="00F2223F"/>
    <w:rsid w:val="00F24867"/>
    <w:rsid w:val="00F3232E"/>
    <w:rsid w:val="00F328DC"/>
    <w:rsid w:val="00F33FC4"/>
    <w:rsid w:val="00F4149D"/>
    <w:rsid w:val="00F438DB"/>
    <w:rsid w:val="00F4754D"/>
    <w:rsid w:val="00F54032"/>
    <w:rsid w:val="00F568C2"/>
    <w:rsid w:val="00F61C96"/>
    <w:rsid w:val="00F65572"/>
    <w:rsid w:val="00F65660"/>
    <w:rsid w:val="00F663E1"/>
    <w:rsid w:val="00F70CC2"/>
    <w:rsid w:val="00F7186E"/>
    <w:rsid w:val="00F729F2"/>
    <w:rsid w:val="00F7336C"/>
    <w:rsid w:val="00F87F06"/>
    <w:rsid w:val="00FA0B51"/>
    <w:rsid w:val="00FB2BDB"/>
    <w:rsid w:val="00FB5E90"/>
    <w:rsid w:val="00FB7F1F"/>
    <w:rsid w:val="00FC3083"/>
    <w:rsid w:val="00FD1228"/>
    <w:rsid w:val="00FD661A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15AC-13E1-450C-A7A8-33687674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白哲迪</cp:lastModifiedBy>
  <cp:revision>7</cp:revision>
  <cp:lastPrinted>2019-09-03T02:43:00Z</cp:lastPrinted>
  <dcterms:created xsi:type="dcterms:W3CDTF">2020-09-08T06:35:00Z</dcterms:created>
  <dcterms:modified xsi:type="dcterms:W3CDTF">2020-10-15T07:09:00Z</dcterms:modified>
</cp:coreProperties>
</file>