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43" w:rsidRPr="00437C59" w:rsidRDefault="00AF5743" w:rsidP="001A1F0C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C630E2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“乾元-私享”（净鑫净利）2018年第21期封闭式净值型私人银行人民币理财产品</w:t>
      </w:r>
      <w:r w:rsidR="00E40B6C">
        <w:rPr>
          <w:rFonts w:asciiTheme="minorEastAsia" w:eastAsiaTheme="minorEastAsia" w:hAnsiTheme="minorEastAsia" w:hint="eastAsia"/>
          <w:b/>
          <w:noProof/>
          <w:color w:val="000000"/>
          <w:sz w:val="32"/>
          <w:szCs w:val="32"/>
        </w:rPr>
        <w:t>2019年3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季</w:t>
      </w:r>
      <w:r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度</w:t>
      </w: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投资管理报告</w:t>
      </w:r>
    </w:p>
    <w:p w:rsidR="00AF5743" w:rsidRPr="00437C59" w:rsidRDefault="00AF5743" w:rsidP="00C61B7B">
      <w:pPr>
        <w:spacing w:line="480" w:lineRule="exact"/>
        <w:ind w:firstLineChars="200" w:firstLine="420"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>
        <w:rPr>
          <w:rFonts w:asciiTheme="minorEastAsia" w:eastAsiaTheme="minorEastAsia" w:hAnsiTheme="minorEastAsia"/>
          <w:color w:val="000000"/>
          <w:szCs w:val="21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年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月</w:t>
      </w:r>
      <w:r>
        <w:rPr>
          <w:rFonts w:asciiTheme="minorEastAsia" w:eastAsiaTheme="minorEastAsia" w:hAnsiTheme="minorEastAsia"/>
          <w:color w:val="000000"/>
          <w:szCs w:val="21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日</w:t>
      </w:r>
    </w:p>
    <w:p w:rsidR="00AF5743" w:rsidRPr="00437C59" w:rsidRDefault="00AF5743" w:rsidP="00C61B7B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C630E2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“乾元-私享”（净鑫净利）2018年第21期封闭式净值型私人银行人民币理财产品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于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2018</w:t>
      </w:r>
      <w:r w:rsidR="00E40B6C">
        <w:rPr>
          <w:rFonts w:asciiTheme="minorEastAsia" w:eastAsiaTheme="minorEastAsia" w:hAnsiTheme="minorEastAsia" w:hint="eastAsia"/>
          <w:noProof/>
          <w:color w:val="000000"/>
          <w:sz w:val="28"/>
          <w:szCs w:val="28"/>
        </w:rPr>
        <w:t>年11月15日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46</w:t>
      </w:r>
      <w:r w:rsidR="00E40B6C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561</w:t>
      </w:r>
      <w:r w:rsidR="00E40B6C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,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172.8</w:t>
      </w:r>
      <w:r w:rsidR="00E40B6C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6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Pr="00FD1228">
        <w:rPr>
          <w:rFonts w:asciiTheme="minorEastAsia" w:eastAsiaTheme="minorEastAsia" w:hAnsiTheme="minorEastAsia" w:hint="eastAsia"/>
          <w:color w:val="000000"/>
          <w:sz w:val="28"/>
          <w:szCs w:val="28"/>
        </w:rPr>
        <w:t>杠杆水平符合监管要求。</w:t>
      </w:r>
      <w:r w:rsidRPr="00FD122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AF5743" w:rsidRPr="00437C59" w:rsidRDefault="00AF5743" w:rsidP="00C61B7B">
      <w:pPr>
        <w:spacing w:line="480" w:lineRule="exact"/>
        <w:ind w:firstLineChars="200" w:firstLine="32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AF5743" w:rsidRDefault="00AF5743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截至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 w:rsidRPr="00260D03">
        <w:rPr>
          <w:rFonts w:asciiTheme="minorEastAsia" w:eastAsiaTheme="minorEastAsia" w:hAnsiTheme="minorEastAsia"/>
          <w:color w:val="000000"/>
          <w:sz w:val="28"/>
          <w:szCs w:val="28"/>
        </w:rPr>
        <w:t>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30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日，产品单位净值为</w:t>
      </w:r>
      <w:r w:rsidRPr="00C630E2">
        <w:rPr>
          <w:rFonts w:asciiTheme="minorEastAsia" w:eastAsiaTheme="minorEastAsia" w:hAnsiTheme="minorEastAsia"/>
          <w:noProof/>
          <w:color w:val="000000"/>
          <w:sz w:val="28"/>
          <w:szCs w:val="28"/>
        </w:rPr>
        <w:t>1.044207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。本报告期内，产品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存续规模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1684"/>
        <w:gridCol w:w="1701"/>
        <w:gridCol w:w="1701"/>
      </w:tblGrid>
      <w:tr w:rsidR="00AF574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684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份额净值</w:t>
            </w:r>
          </w:p>
        </w:tc>
        <w:tc>
          <w:tcPr>
            <w:tcW w:w="1701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累计净值</w:t>
            </w:r>
          </w:p>
        </w:tc>
        <w:tc>
          <w:tcPr>
            <w:tcW w:w="1701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资产净值</w:t>
            </w:r>
          </w:p>
        </w:tc>
      </w:tr>
      <w:tr w:rsidR="00AF574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AF5743" w:rsidRDefault="00AF5743" w:rsidP="00260D03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报告日</w:t>
            </w:r>
          </w:p>
        </w:tc>
        <w:tc>
          <w:tcPr>
            <w:tcW w:w="1684" w:type="dxa"/>
            <w:vAlign w:val="center"/>
          </w:tcPr>
          <w:p w:rsidR="00AF5743" w:rsidRDefault="00AF5743" w:rsidP="00E40B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1.044207</w:t>
            </w:r>
          </w:p>
        </w:tc>
        <w:tc>
          <w:tcPr>
            <w:tcW w:w="1701" w:type="dxa"/>
            <w:vAlign w:val="center"/>
          </w:tcPr>
          <w:p w:rsidR="00AF5743" w:rsidRDefault="00AF5743" w:rsidP="00E40B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1.044207</w:t>
            </w:r>
          </w:p>
        </w:tc>
        <w:tc>
          <w:tcPr>
            <w:tcW w:w="1701" w:type="dxa"/>
            <w:vAlign w:val="center"/>
          </w:tcPr>
          <w:p w:rsidR="00AF5743" w:rsidRDefault="00AF5743" w:rsidP="00E40B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46</w:t>
            </w:r>
            <w:r w:rsidR="00E40B6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561</w:t>
            </w:r>
            <w:r w:rsidR="00E40B6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172.8</w:t>
            </w:r>
            <w:r w:rsidR="00E40B6C">
              <w:rPr>
                <w:rFonts w:ascii="宋体" w:hAnsi="宋体" w:cs="宋体"/>
                <w:noProof/>
                <w:kern w:val="0"/>
              </w:rPr>
              <w:t>6</w:t>
            </w:r>
          </w:p>
        </w:tc>
      </w:tr>
      <w:tr w:rsidR="00AF574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AF5743" w:rsidRDefault="00AF574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一个月前</w:t>
            </w:r>
          </w:p>
        </w:tc>
        <w:tc>
          <w:tcPr>
            <w:tcW w:w="1684" w:type="dxa"/>
            <w:vAlign w:val="center"/>
          </w:tcPr>
          <w:p w:rsidR="00AF5743" w:rsidRDefault="00AF574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1.040071</w:t>
            </w:r>
          </w:p>
        </w:tc>
        <w:tc>
          <w:tcPr>
            <w:tcW w:w="1701" w:type="dxa"/>
            <w:vAlign w:val="center"/>
          </w:tcPr>
          <w:p w:rsidR="00AF5743" w:rsidRDefault="00AF574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1.040071</w:t>
            </w:r>
          </w:p>
        </w:tc>
        <w:tc>
          <w:tcPr>
            <w:tcW w:w="1701" w:type="dxa"/>
            <w:vAlign w:val="center"/>
          </w:tcPr>
          <w:p w:rsidR="00AF5743" w:rsidRDefault="00AF574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46</w:t>
            </w:r>
            <w:r w:rsidR="00E40B6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376</w:t>
            </w:r>
            <w:r w:rsidR="00E40B6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752.25</w:t>
            </w:r>
          </w:p>
        </w:tc>
      </w:tr>
      <w:tr w:rsidR="00AF574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两个月前</w:t>
            </w:r>
          </w:p>
        </w:tc>
        <w:tc>
          <w:tcPr>
            <w:tcW w:w="1684" w:type="dxa"/>
            <w:vAlign w:val="center"/>
          </w:tcPr>
          <w:p w:rsidR="00AF5743" w:rsidRDefault="00AF5743" w:rsidP="00E40B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1.03522</w:t>
            </w:r>
            <w:r w:rsidR="00E40B6C">
              <w:rPr>
                <w:rFonts w:ascii="宋体" w:hAnsi="宋体" w:cs="宋体"/>
                <w:noProof/>
                <w:kern w:val="0"/>
              </w:rPr>
              <w:t>1</w:t>
            </w:r>
          </w:p>
        </w:tc>
        <w:tc>
          <w:tcPr>
            <w:tcW w:w="1701" w:type="dxa"/>
            <w:vAlign w:val="center"/>
          </w:tcPr>
          <w:p w:rsidR="00AF5743" w:rsidRDefault="00AF5743" w:rsidP="00E40B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1.03522</w:t>
            </w:r>
            <w:r w:rsidR="00E40B6C">
              <w:rPr>
                <w:rFonts w:ascii="宋体" w:hAnsi="宋体" w:cs="宋体"/>
                <w:noProof/>
                <w:kern w:val="0"/>
              </w:rPr>
              <w:t>1</w:t>
            </w:r>
          </w:p>
        </w:tc>
        <w:tc>
          <w:tcPr>
            <w:tcW w:w="1701" w:type="dxa"/>
            <w:vAlign w:val="center"/>
          </w:tcPr>
          <w:p w:rsidR="00AF5743" w:rsidRDefault="00AF5743" w:rsidP="00E40B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46</w:t>
            </w:r>
            <w:r w:rsidR="00E40B6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160</w:t>
            </w:r>
            <w:r w:rsidR="00E40B6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490.0</w:t>
            </w:r>
            <w:r w:rsidR="00E40B6C">
              <w:rPr>
                <w:rFonts w:ascii="宋体" w:hAnsi="宋体" w:cs="宋体"/>
                <w:noProof/>
                <w:kern w:val="0"/>
              </w:rPr>
              <w:t>8</w:t>
            </w:r>
          </w:p>
        </w:tc>
      </w:tr>
      <w:tr w:rsidR="00AF5743" w:rsidTr="006965E7">
        <w:trPr>
          <w:trHeight w:val="285"/>
          <w:jc w:val="center"/>
        </w:trPr>
        <w:tc>
          <w:tcPr>
            <w:tcW w:w="3302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三个月前</w:t>
            </w:r>
          </w:p>
        </w:tc>
        <w:tc>
          <w:tcPr>
            <w:tcW w:w="1684" w:type="dxa"/>
            <w:vAlign w:val="center"/>
          </w:tcPr>
          <w:p w:rsidR="00AF5743" w:rsidRDefault="00AF5743" w:rsidP="00E40B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1.031341</w:t>
            </w:r>
          </w:p>
        </w:tc>
        <w:tc>
          <w:tcPr>
            <w:tcW w:w="1701" w:type="dxa"/>
            <w:vAlign w:val="center"/>
          </w:tcPr>
          <w:p w:rsidR="00AF5743" w:rsidRDefault="00AF5743" w:rsidP="00E40B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1.031341</w:t>
            </w:r>
          </w:p>
        </w:tc>
        <w:tc>
          <w:tcPr>
            <w:tcW w:w="1701" w:type="dxa"/>
            <w:vAlign w:val="center"/>
          </w:tcPr>
          <w:p w:rsidR="00AF5743" w:rsidRDefault="00AF5743" w:rsidP="00E40B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C630E2">
              <w:rPr>
                <w:rFonts w:ascii="宋体" w:hAnsi="宋体" w:cs="宋体"/>
                <w:noProof/>
                <w:kern w:val="0"/>
              </w:rPr>
              <w:t>45</w:t>
            </w:r>
            <w:r w:rsidR="00E40B6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987</w:t>
            </w:r>
            <w:r w:rsidR="00E40B6C">
              <w:rPr>
                <w:rFonts w:ascii="宋体" w:hAnsi="宋体" w:cs="宋体"/>
                <w:noProof/>
                <w:kern w:val="0"/>
              </w:rPr>
              <w:t>,</w:t>
            </w:r>
            <w:r w:rsidRPr="00C630E2">
              <w:rPr>
                <w:rFonts w:ascii="宋体" w:hAnsi="宋体" w:cs="宋体"/>
                <w:noProof/>
                <w:kern w:val="0"/>
              </w:rPr>
              <w:t>480.34</w:t>
            </w:r>
          </w:p>
        </w:tc>
      </w:tr>
    </w:tbl>
    <w:p w:rsidR="00AF5743" w:rsidRPr="00E31B0A" w:rsidRDefault="00AF5743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AF5743" w:rsidRPr="00E31B0A" w:rsidRDefault="00AF5743" w:rsidP="0073533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406"/>
        <w:gridCol w:w="1405"/>
        <w:gridCol w:w="1406"/>
        <w:gridCol w:w="1321"/>
      </w:tblGrid>
      <w:tr w:rsidR="00AF5743" w:rsidRPr="00E31B0A" w:rsidTr="00892297">
        <w:trPr>
          <w:trHeight w:val="589"/>
        </w:trPr>
        <w:tc>
          <w:tcPr>
            <w:tcW w:w="2943" w:type="dxa"/>
            <w:vAlign w:val="center"/>
          </w:tcPr>
          <w:p w:rsidR="00AF5743" w:rsidRPr="00E31B0A" w:rsidRDefault="00AF5743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AF5743" w:rsidRPr="00E31B0A" w:rsidRDefault="00AF5743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AF5743" w:rsidRPr="00E31B0A" w:rsidRDefault="00AF5743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AF5743" w:rsidRPr="00E31B0A" w:rsidRDefault="00AF5743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AF5743" w:rsidRPr="00E31B0A" w:rsidRDefault="00AF5743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AF5743" w:rsidRPr="00E31B0A" w:rsidTr="00892297">
        <w:trPr>
          <w:trHeight w:val="519"/>
        </w:trPr>
        <w:tc>
          <w:tcPr>
            <w:tcW w:w="2943" w:type="dxa"/>
            <w:vAlign w:val="center"/>
          </w:tcPr>
          <w:p w:rsidR="00AF5743" w:rsidRPr="00E31B0A" w:rsidRDefault="00AF5743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30E2">
              <w:rPr>
                <w:rFonts w:asciiTheme="minorEastAsia" w:eastAsiaTheme="minorEastAsia" w:hAnsiTheme="minorEastAsia" w:hint="eastAsia"/>
                <w:noProof/>
                <w:szCs w:val="21"/>
              </w:rPr>
              <w:t>“乾元-私享”（净鑫净利）2018年第21期封闭式净值型私人银行人民币理财产品</w:t>
            </w:r>
          </w:p>
        </w:tc>
        <w:tc>
          <w:tcPr>
            <w:tcW w:w="1418" w:type="dxa"/>
            <w:vAlign w:val="center"/>
          </w:tcPr>
          <w:p w:rsidR="00AF5743" w:rsidRPr="00E31B0A" w:rsidRDefault="00AF5743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 w:rsidR="0085472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/11/12</w:t>
            </w:r>
          </w:p>
        </w:tc>
        <w:tc>
          <w:tcPr>
            <w:tcW w:w="1417" w:type="dxa"/>
            <w:vAlign w:val="center"/>
          </w:tcPr>
          <w:p w:rsidR="00AF5743" w:rsidRPr="00E31B0A" w:rsidRDefault="0085472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/11/14</w:t>
            </w:r>
          </w:p>
        </w:tc>
        <w:tc>
          <w:tcPr>
            <w:tcW w:w="1418" w:type="dxa"/>
            <w:vAlign w:val="center"/>
          </w:tcPr>
          <w:p w:rsidR="00AF5743" w:rsidRPr="00E31B0A" w:rsidRDefault="0085472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C630E2"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2018</w:t>
            </w: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/11/15</w:t>
            </w:r>
          </w:p>
        </w:tc>
        <w:tc>
          <w:tcPr>
            <w:tcW w:w="1326" w:type="dxa"/>
            <w:vAlign w:val="center"/>
          </w:tcPr>
          <w:p w:rsidR="00AF5743" w:rsidRPr="00E31B0A" w:rsidRDefault="00854722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/>
                <w:noProof/>
                <w:color w:val="000000"/>
                <w:szCs w:val="21"/>
              </w:rPr>
              <w:t>2020/11/30</w:t>
            </w:r>
          </w:p>
        </w:tc>
      </w:tr>
    </w:tbl>
    <w:p w:rsidR="00AF5743" w:rsidRPr="00437C59" w:rsidRDefault="00AF5743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  <w:r w:rsidRPr="00437C59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 xml:space="preserve"> </w:t>
      </w:r>
    </w:p>
    <w:p w:rsidR="00AF5743" w:rsidRPr="00437C59" w:rsidRDefault="00AF5743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中国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建设银行股份有限公司广东省分行</w:t>
      </w:r>
    </w:p>
    <w:p w:rsidR="00AF5743" w:rsidRDefault="00AF5743" w:rsidP="00892297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AF5743" w:rsidTr="00CF3B2C">
        <w:trPr>
          <w:trHeight w:val="285"/>
          <w:jc w:val="center"/>
        </w:trPr>
        <w:tc>
          <w:tcPr>
            <w:tcW w:w="2547" w:type="dxa"/>
            <w:vAlign w:val="center"/>
          </w:tcPr>
          <w:p w:rsidR="00AF5743" w:rsidRDefault="00AF574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AF5743" w:rsidRDefault="00AF574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AF5743" w:rsidRDefault="00AF574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3" w:type="dxa"/>
            <w:vAlign w:val="center"/>
          </w:tcPr>
          <w:p w:rsidR="00AF5743" w:rsidRDefault="00AF574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  <w:tc>
          <w:tcPr>
            <w:tcW w:w="1418" w:type="dxa"/>
            <w:vAlign w:val="center"/>
          </w:tcPr>
          <w:p w:rsidR="00AF5743" w:rsidRDefault="00AF574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穿透后金额</w:t>
            </w:r>
          </w:p>
          <w:p w:rsidR="00AF5743" w:rsidRDefault="00AF574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（万元）</w:t>
            </w:r>
          </w:p>
        </w:tc>
        <w:tc>
          <w:tcPr>
            <w:tcW w:w="1842" w:type="dxa"/>
          </w:tcPr>
          <w:p w:rsidR="00AF5743" w:rsidRDefault="00AF5743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占全部产品总资</w:t>
            </w:r>
            <w:r>
              <w:rPr>
                <w:rFonts w:ascii="宋体" w:hAnsi="宋体" w:cs="宋体" w:hint="eastAsia"/>
                <w:kern w:val="0"/>
              </w:rPr>
              <w:lastRenderedPageBreak/>
              <w:t>产的比例（%）</w:t>
            </w:r>
          </w:p>
        </w:tc>
      </w:tr>
      <w:tr w:rsidR="001A00C5" w:rsidTr="001A00C5">
        <w:trPr>
          <w:trHeight w:val="285"/>
          <w:jc w:val="center"/>
        </w:trPr>
        <w:tc>
          <w:tcPr>
            <w:tcW w:w="2547" w:type="dxa"/>
            <w:vAlign w:val="center"/>
          </w:tcPr>
          <w:p w:rsidR="001A00C5" w:rsidRDefault="001A00C5" w:rsidP="001A00C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现金及银行存款</w:t>
            </w:r>
          </w:p>
        </w:tc>
        <w:tc>
          <w:tcPr>
            <w:tcW w:w="1417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248.67</w:t>
            </w:r>
          </w:p>
        </w:tc>
        <w:tc>
          <w:tcPr>
            <w:tcW w:w="1843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5.33%</w:t>
            </w:r>
          </w:p>
        </w:tc>
        <w:tc>
          <w:tcPr>
            <w:tcW w:w="1418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248.67</w:t>
            </w:r>
          </w:p>
        </w:tc>
        <w:tc>
          <w:tcPr>
            <w:tcW w:w="1842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5.33%</w:t>
            </w:r>
          </w:p>
        </w:tc>
      </w:tr>
      <w:tr w:rsidR="001A00C5" w:rsidTr="001A00C5">
        <w:trPr>
          <w:trHeight w:val="285"/>
          <w:jc w:val="center"/>
        </w:trPr>
        <w:tc>
          <w:tcPr>
            <w:tcW w:w="2547" w:type="dxa"/>
            <w:vAlign w:val="center"/>
          </w:tcPr>
          <w:p w:rsidR="001A00C5" w:rsidRDefault="001A00C5" w:rsidP="001A00C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1A00C5" w:rsidTr="001A00C5">
        <w:trPr>
          <w:trHeight w:val="285"/>
          <w:jc w:val="center"/>
        </w:trPr>
        <w:tc>
          <w:tcPr>
            <w:tcW w:w="2547" w:type="dxa"/>
            <w:vAlign w:val="center"/>
          </w:tcPr>
          <w:p w:rsidR="001A00C5" w:rsidRDefault="001A00C5" w:rsidP="001A00C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421.17</w:t>
            </w:r>
          </w:p>
        </w:tc>
        <w:tc>
          <w:tcPr>
            <w:tcW w:w="1843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94.67%</w:t>
            </w:r>
          </w:p>
        </w:tc>
        <w:tc>
          <w:tcPr>
            <w:tcW w:w="1418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421.17</w:t>
            </w:r>
          </w:p>
        </w:tc>
        <w:tc>
          <w:tcPr>
            <w:tcW w:w="1842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94.67%</w:t>
            </w:r>
          </w:p>
        </w:tc>
      </w:tr>
      <w:tr w:rsidR="001A00C5" w:rsidTr="001A00C5">
        <w:trPr>
          <w:trHeight w:val="285"/>
          <w:jc w:val="center"/>
        </w:trPr>
        <w:tc>
          <w:tcPr>
            <w:tcW w:w="2547" w:type="dxa"/>
            <w:vAlign w:val="center"/>
          </w:tcPr>
          <w:p w:rsidR="001A00C5" w:rsidRDefault="001A00C5" w:rsidP="001A00C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3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418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42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1A00C5" w:rsidTr="001A00C5">
        <w:trPr>
          <w:trHeight w:val="285"/>
          <w:jc w:val="center"/>
        </w:trPr>
        <w:tc>
          <w:tcPr>
            <w:tcW w:w="2547" w:type="dxa"/>
            <w:vAlign w:val="center"/>
          </w:tcPr>
          <w:p w:rsidR="001A00C5" w:rsidRDefault="001A00C5" w:rsidP="001A00C5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669.84</w:t>
            </w:r>
          </w:p>
        </w:tc>
        <w:tc>
          <w:tcPr>
            <w:tcW w:w="1843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  <w:tc>
          <w:tcPr>
            <w:tcW w:w="1418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  <w:r>
              <w:rPr>
                <w:rFonts w:ascii="宋体" w:hAnsi="宋体" w:cs="宋体"/>
                <w:kern w:val="0"/>
              </w:rPr>
              <w:t>,</w:t>
            </w:r>
            <w:r>
              <w:rPr>
                <w:rFonts w:ascii="宋体" w:hAnsi="宋体" w:cs="宋体" w:hint="eastAsia"/>
                <w:kern w:val="0"/>
              </w:rPr>
              <w:t>669.84</w:t>
            </w:r>
          </w:p>
        </w:tc>
        <w:tc>
          <w:tcPr>
            <w:tcW w:w="1842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100%</w:t>
            </w:r>
          </w:p>
        </w:tc>
      </w:tr>
    </w:tbl>
    <w:p w:rsidR="00AF5743" w:rsidRDefault="00AF5743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539"/>
        <w:gridCol w:w="1806"/>
        <w:gridCol w:w="1724"/>
      </w:tblGrid>
      <w:tr w:rsidR="00AF5743" w:rsidRPr="00437C59" w:rsidTr="001A00C5">
        <w:trPr>
          <w:trHeight w:val="589"/>
          <w:jc w:val="center"/>
        </w:trPr>
        <w:tc>
          <w:tcPr>
            <w:tcW w:w="1227" w:type="dxa"/>
            <w:vAlign w:val="center"/>
          </w:tcPr>
          <w:p w:rsidR="00AF5743" w:rsidRPr="00C85517" w:rsidRDefault="00AF5743" w:rsidP="00CF3B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539" w:type="dxa"/>
            <w:vAlign w:val="center"/>
          </w:tcPr>
          <w:p w:rsidR="00AF5743" w:rsidRPr="00C85517" w:rsidRDefault="00AF5743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06" w:type="dxa"/>
            <w:vAlign w:val="center"/>
          </w:tcPr>
          <w:p w:rsidR="00AF5743" w:rsidRPr="00C85517" w:rsidRDefault="00AF5743" w:rsidP="00C8551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724" w:type="dxa"/>
            <w:vAlign w:val="center"/>
          </w:tcPr>
          <w:p w:rsidR="00AF5743" w:rsidRPr="00C85517" w:rsidRDefault="00AF5743" w:rsidP="00977A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AF5743" w:rsidRPr="00437C59" w:rsidTr="001A00C5">
        <w:trPr>
          <w:trHeight w:val="496"/>
          <w:jc w:val="center"/>
        </w:trPr>
        <w:tc>
          <w:tcPr>
            <w:tcW w:w="1227" w:type="dxa"/>
            <w:vAlign w:val="center"/>
          </w:tcPr>
          <w:p w:rsidR="00AF5743" w:rsidRPr="00C720CE" w:rsidRDefault="00AF5743" w:rsidP="00CF3B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539" w:type="dxa"/>
            <w:vAlign w:val="center"/>
          </w:tcPr>
          <w:p w:rsidR="00AF5743" w:rsidRPr="00C720CE" w:rsidRDefault="001A00C5" w:rsidP="001A00C5">
            <w:pPr>
              <w:jc w:val="center"/>
              <w:rPr>
                <w:rFonts w:asciiTheme="minorEastAsia" w:eastAsiaTheme="minorEastAsia" w:hAnsiTheme="minorEastAsia"/>
              </w:rPr>
            </w:pPr>
            <w:r w:rsidRPr="001A00C5">
              <w:rPr>
                <w:rFonts w:asciiTheme="minorEastAsia" w:eastAsiaTheme="minorEastAsia" w:hAnsiTheme="minorEastAsia" w:hint="eastAsia"/>
              </w:rPr>
              <w:t>15苏州常熟滨江城投AB004</w:t>
            </w:r>
          </w:p>
        </w:tc>
        <w:tc>
          <w:tcPr>
            <w:tcW w:w="1806" w:type="dxa"/>
            <w:vAlign w:val="center"/>
          </w:tcPr>
          <w:p w:rsidR="00AF5743" w:rsidRPr="00C720CE" w:rsidRDefault="001A00C5" w:rsidP="001A00C5">
            <w:pPr>
              <w:jc w:val="center"/>
              <w:rPr>
                <w:rFonts w:asciiTheme="minorEastAsia" w:eastAsiaTheme="minorEastAsia" w:hAnsiTheme="minorEastAsia"/>
              </w:rPr>
            </w:pPr>
            <w:r w:rsidRPr="001A00C5">
              <w:rPr>
                <w:rFonts w:asciiTheme="minorEastAsia" w:eastAsiaTheme="minorEastAsia" w:hAnsiTheme="minorEastAsia"/>
              </w:rPr>
              <w:t>44</w:t>
            </w:r>
            <w:r>
              <w:rPr>
                <w:rFonts w:asciiTheme="minorEastAsia" w:eastAsiaTheme="minorEastAsia" w:hAnsiTheme="minorEastAsia"/>
              </w:rPr>
              <w:t>,</w:t>
            </w:r>
            <w:r w:rsidRPr="001A00C5">
              <w:rPr>
                <w:rFonts w:asciiTheme="minorEastAsia" w:eastAsiaTheme="minorEastAsia" w:hAnsiTheme="minorEastAsia"/>
              </w:rPr>
              <w:t>211</w:t>
            </w:r>
            <w:r>
              <w:rPr>
                <w:rFonts w:asciiTheme="minorEastAsia" w:eastAsiaTheme="minorEastAsia" w:hAnsiTheme="minorEastAsia"/>
              </w:rPr>
              <w:t>,</w:t>
            </w:r>
            <w:r w:rsidRPr="001A00C5">
              <w:rPr>
                <w:rFonts w:asciiTheme="minorEastAsia" w:eastAsiaTheme="minorEastAsia" w:hAnsiTheme="minorEastAsia"/>
              </w:rPr>
              <w:t>743.97</w:t>
            </w:r>
          </w:p>
        </w:tc>
        <w:tc>
          <w:tcPr>
            <w:tcW w:w="1724" w:type="dxa"/>
            <w:vAlign w:val="center"/>
          </w:tcPr>
          <w:p w:rsidR="00AF5743" w:rsidRPr="00C720CE" w:rsidRDefault="001A00C5" w:rsidP="001A00C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cs="宋体" w:hint="eastAsia"/>
                <w:kern w:val="0"/>
              </w:rPr>
              <w:t>94.67%</w:t>
            </w:r>
          </w:p>
        </w:tc>
      </w:tr>
      <w:tr w:rsidR="001A00C5" w:rsidRPr="00437C59" w:rsidTr="001A00C5">
        <w:trPr>
          <w:trHeight w:val="496"/>
          <w:jc w:val="center"/>
        </w:trPr>
        <w:tc>
          <w:tcPr>
            <w:tcW w:w="1227" w:type="dxa"/>
            <w:vAlign w:val="center"/>
          </w:tcPr>
          <w:p w:rsidR="001A00C5" w:rsidRPr="00C720CE" w:rsidRDefault="001A00C5" w:rsidP="001A00C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539" w:type="dxa"/>
            <w:vAlign w:val="center"/>
          </w:tcPr>
          <w:p w:rsidR="001A00C5" w:rsidRDefault="001A00C5" w:rsidP="001A00C5">
            <w:pPr>
              <w:jc w:val="center"/>
            </w:pPr>
            <w:r w:rsidRPr="00BD314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06" w:type="dxa"/>
            <w:vAlign w:val="center"/>
          </w:tcPr>
          <w:p w:rsidR="001A00C5" w:rsidRDefault="001A00C5" w:rsidP="001A00C5">
            <w:pPr>
              <w:jc w:val="center"/>
            </w:pPr>
            <w:r w:rsidRPr="00BD314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4" w:type="dxa"/>
            <w:vAlign w:val="center"/>
          </w:tcPr>
          <w:p w:rsidR="001A00C5" w:rsidRDefault="001A00C5" w:rsidP="001A00C5">
            <w:pPr>
              <w:jc w:val="center"/>
            </w:pPr>
            <w:r w:rsidRPr="00BD3146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1A00C5" w:rsidRPr="00437C59" w:rsidTr="001A00C5">
        <w:trPr>
          <w:trHeight w:val="496"/>
          <w:jc w:val="center"/>
        </w:trPr>
        <w:tc>
          <w:tcPr>
            <w:tcW w:w="1227" w:type="dxa"/>
            <w:vAlign w:val="center"/>
          </w:tcPr>
          <w:p w:rsidR="001A00C5" w:rsidRPr="00C720CE" w:rsidRDefault="001A00C5" w:rsidP="001A00C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539" w:type="dxa"/>
            <w:vAlign w:val="center"/>
          </w:tcPr>
          <w:p w:rsidR="001A00C5" w:rsidRDefault="001A00C5" w:rsidP="001A00C5">
            <w:pPr>
              <w:jc w:val="center"/>
            </w:pPr>
            <w:r w:rsidRPr="00BD314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806" w:type="dxa"/>
            <w:vAlign w:val="center"/>
          </w:tcPr>
          <w:p w:rsidR="001A00C5" w:rsidRDefault="001A00C5" w:rsidP="001A00C5">
            <w:pPr>
              <w:jc w:val="center"/>
            </w:pPr>
            <w:r w:rsidRPr="00BD3146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724" w:type="dxa"/>
            <w:vAlign w:val="center"/>
          </w:tcPr>
          <w:p w:rsidR="001A00C5" w:rsidRDefault="001A00C5" w:rsidP="001A00C5">
            <w:pPr>
              <w:jc w:val="center"/>
            </w:pPr>
            <w:r w:rsidRPr="00BD3146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AF5743" w:rsidRDefault="00AF5743" w:rsidP="00C85517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Pr="00260D03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投资规模占比较高的前十项资产</w:t>
      </w:r>
    </w:p>
    <w:p w:rsidR="00AF5743" w:rsidRDefault="00AF5743" w:rsidP="009E48D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五、风险分析</w:t>
      </w:r>
    </w:p>
    <w:p w:rsidR="00AF5743" w:rsidRDefault="00AF5743" w:rsidP="00C715DB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产品</w:t>
      </w:r>
      <w:r w:rsidRPr="00C715DB">
        <w:rPr>
          <w:rFonts w:asciiTheme="minorEastAsia" w:eastAsiaTheme="minorEastAsia" w:hAnsiTheme="minorEastAsia" w:hint="eastAsia"/>
          <w:color w:val="000000"/>
          <w:sz w:val="28"/>
          <w:szCs w:val="28"/>
        </w:rPr>
        <w:t>的流动性风险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F5743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3" w:rsidRDefault="00AF5743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不可赎回本期产品，且所投组合内所有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非标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资产到期日均</w:t>
            </w:r>
            <w:r w:rsidR="00CA29A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不晚于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产品到期日，故投资组合流动性风险较低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AF5743" w:rsidRDefault="00AF5743" w:rsidP="009E48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（二）产品的投资风险情况</w:t>
      </w:r>
    </w:p>
    <w:p w:rsidR="00AF5743" w:rsidRDefault="00AF5743" w:rsidP="00C715D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 w:rsidRPr="00C715DB">
        <w:rPr>
          <w:rFonts w:asciiTheme="minorEastAsia" w:eastAsiaTheme="minorEastAsia" w:hAnsiTheme="minorEastAsia" w:hint="eastAsia"/>
          <w:sz w:val="28"/>
          <w:szCs w:val="28"/>
        </w:rPr>
        <w:t>产品债券持仓风险及价格波动情况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AF5743" w:rsidTr="005A08AB">
        <w:trPr>
          <w:trHeight w:val="5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3" w:rsidRDefault="001A00C5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1A00C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不涉及。</w:t>
            </w:r>
          </w:p>
        </w:tc>
      </w:tr>
    </w:tbl>
    <w:p w:rsidR="00AF5743" w:rsidRDefault="00AF5743" w:rsidP="0073533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六、投资账户信息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AF5743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AF5743" w:rsidRDefault="00AF5743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AF5743" w:rsidTr="0072777A">
        <w:trPr>
          <w:trHeight w:val="285"/>
          <w:jc w:val="center"/>
        </w:trPr>
        <w:tc>
          <w:tcPr>
            <w:tcW w:w="780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AF5743" w:rsidRDefault="001A00C5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1A00C5">
              <w:rPr>
                <w:rFonts w:ascii="宋体" w:hAnsi="宋体" w:cs="宋体"/>
                <w:kern w:val="0"/>
              </w:rPr>
              <w:t>44050186320100001990-0050</w:t>
            </w:r>
          </w:p>
        </w:tc>
        <w:tc>
          <w:tcPr>
            <w:tcW w:w="1843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260D03">
              <w:rPr>
                <w:rFonts w:ascii="宋体" w:hAnsi="宋体" w:cs="宋体" w:hint="eastAsia"/>
                <w:kern w:val="0"/>
              </w:rPr>
              <w:t>中国建设银行股份有限公司广东省分行投资银行</w:t>
            </w:r>
            <w:r w:rsidRPr="00260D03">
              <w:rPr>
                <w:rFonts w:ascii="宋体" w:hAnsi="宋体" w:cs="宋体" w:hint="eastAsia"/>
                <w:kern w:val="0"/>
              </w:rPr>
              <w:lastRenderedPageBreak/>
              <w:t>理财产品托管专户</w:t>
            </w:r>
          </w:p>
        </w:tc>
        <w:tc>
          <w:tcPr>
            <w:tcW w:w="1997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中国</w:t>
            </w:r>
            <w:r>
              <w:rPr>
                <w:rFonts w:ascii="宋体" w:hAnsi="宋体" w:cs="宋体"/>
                <w:kern w:val="0"/>
              </w:rPr>
              <w:t>建设银行广东省分行营业室</w:t>
            </w:r>
          </w:p>
        </w:tc>
      </w:tr>
    </w:tbl>
    <w:p w:rsidR="00AF5743" w:rsidRDefault="00AF5743" w:rsidP="00AD7F0D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七、</w:t>
      </w:r>
      <w:r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AF5743" w:rsidRDefault="00AF5743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</w:t>
      </w:r>
      <w:r w:rsidRPr="00AD7F0D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产品持有关联方发行或承销的证券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AF5743" w:rsidTr="001A00C5">
        <w:trPr>
          <w:trHeight w:val="285"/>
          <w:jc w:val="center"/>
        </w:trPr>
        <w:tc>
          <w:tcPr>
            <w:tcW w:w="793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AF5743" w:rsidRDefault="00AF5743" w:rsidP="000C4729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AF5743" w:rsidRDefault="00AF5743" w:rsidP="000C4729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1A00C5" w:rsidTr="001A00C5">
        <w:trPr>
          <w:trHeight w:val="285"/>
          <w:jc w:val="center"/>
        </w:trPr>
        <w:tc>
          <w:tcPr>
            <w:tcW w:w="793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A00C5" w:rsidRDefault="001A00C5" w:rsidP="001A00C5">
            <w:pPr>
              <w:jc w:val="center"/>
            </w:pPr>
            <w:r w:rsidRPr="006A166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A00C5" w:rsidRDefault="001A00C5" w:rsidP="001A00C5">
            <w:pPr>
              <w:jc w:val="center"/>
            </w:pPr>
            <w:r w:rsidRPr="006A166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A00C5" w:rsidRDefault="001A00C5" w:rsidP="001A00C5">
            <w:pPr>
              <w:jc w:val="center"/>
            </w:pPr>
            <w:r w:rsidRPr="006A166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1A00C5" w:rsidRDefault="001A00C5" w:rsidP="001A00C5">
            <w:pPr>
              <w:jc w:val="center"/>
            </w:pPr>
            <w:r w:rsidRPr="006A166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1A00C5" w:rsidRDefault="001A00C5" w:rsidP="001A00C5">
            <w:pPr>
              <w:jc w:val="center"/>
            </w:pPr>
            <w:r w:rsidRPr="006A1668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1A00C5" w:rsidRDefault="001A00C5" w:rsidP="001A00C5">
            <w:pPr>
              <w:jc w:val="center"/>
            </w:pPr>
            <w:r w:rsidRPr="006A1668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1A00C5" w:rsidTr="001A00C5">
        <w:trPr>
          <w:trHeight w:val="285"/>
          <w:jc w:val="center"/>
        </w:trPr>
        <w:tc>
          <w:tcPr>
            <w:tcW w:w="793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1A00C5" w:rsidRDefault="001A00C5" w:rsidP="001A00C5">
            <w:pPr>
              <w:jc w:val="center"/>
            </w:pPr>
            <w:r w:rsidRPr="007E705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A00C5" w:rsidRDefault="001A00C5" w:rsidP="001A00C5">
            <w:pPr>
              <w:jc w:val="center"/>
            </w:pPr>
            <w:r w:rsidRPr="007E705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A00C5" w:rsidRDefault="001A00C5" w:rsidP="001A00C5">
            <w:pPr>
              <w:jc w:val="center"/>
            </w:pPr>
            <w:r w:rsidRPr="007E705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A00C5" w:rsidRDefault="001A00C5" w:rsidP="001A00C5">
            <w:pPr>
              <w:jc w:val="center"/>
            </w:pPr>
            <w:r w:rsidRPr="007E705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1A00C5" w:rsidRDefault="001A00C5" w:rsidP="001A00C5">
            <w:pPr>
              <w:jc w:val="center"/>
            </w:pPr>
            <w:r w:rsidRPr="007E705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1A00C5" w:rsidRDefault="001A00C5" w:rsidP="001A00C5">
            <w:pPr>
              <w:jc w:val="center"/>
            </w:pPr>
            <w:r w:rsidRPr="007E705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1A00C5" w:rsidRDefault="001A00C5" w:rsidP="001A00C5">
            <w:pPr>
              <w:jc w:val="center"/>
            </w:pPr>
            <w:r w:rsidRPr="007E7050">
              <w:rPr>
                <w:rFonts w:ascii="宋体" w:hAnsi="宋体" w:cs="宋体" w:hint="eastAsia"/>
                <w:kern w:val="0"/>
              </w:rPr>
              <w:t>/</w:t>
            </w:r>
          </w:p>
        </w:tc>
      </w:tr>
      <w:tr w:rsidR="001A00C5" w:rsidTr="001A00C5">
        <w:trPr>
          <w:trHeight w:val="285"/>
          <w:jc w:val="center"/>
        </w:trPr>
        <w:tc>
          <w:tcPr>
            <w:tcW w:w="793" w:type="dxa"/>
            <w:vAlign w:val="center"/>
          </w:tcPr>
          <w:p w:rsidR="001A00C5" w:rsidRDefault="001A00C5" w:rsidP="001A00C5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1A00C5" w:rsidRDefault="001A00C5" w:rsidP="001A00C5">
            <w:pPr>
              <w:jc w:val="center"/>
            </w:pPr>
            <w:r w:rsidRPr="007E705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A00C5" w:rsidRDefault="001A00C5" w:rsidP="001A00C5">
            <w:pPr>
              <w:jc w:val="center"/>
            </w:pPr>
            <w:r w:rsidRPr="007E705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A00C5" w:rsidRDefault="001A00C5" w:rsidP="001A00C5">
            <w:pPr>
              <w:jc w:val="center"/>
            </w:pPr>
            <w:r w:rsidRPr="007E705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356" w:type="dxa"/>
            <w:vAlign w:val="center"/>
          </w:tcPr>
          <w:p w:rsidR="001A00C5" w:rsidRDefault="001A00C5" w:rsidP="001A00C5">
            <w:pPr>
              <w:jc w:val="center"/>
            </w:pPr>
            <w:r w:rsidRPr="007E705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296" w:type="dxa"/>
            <w:vAlign w:val="center"/>
          </w:tcPr>
          <w:p w:rsidR="001A00C5" w:rsidRDefault="001A00C5" w:rsidP="001A00C5">
            <w:pPr>
              <w:jc w:val="center"/>
            </w:pPr>
            <w:r w:rsidRPr="007E705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54" w:type="dxa"/>
            <w:vAlign w:val="center"/>
          </w:tcPr>
          <w:p w:rsidR="001A00C5" w:rsidRDefault="001A00C5" w:rsidP="001A00C5">
            <w:pPr>
              <w:jc w:val="center"/>
            </w:pPr>
            <w:r w:rsidRPr="007E7050">
              <w:rPr>
                <w:rFonts w:ascii="宋体" w:hAnsi="宋体" w:cs="宋体" w:hint="eastAsia"/>
                <w:kern w:val="0"/>
              </w:rPr>
              <w:t>/</w:t>
            </w:r>
          </w:p>
        </w:tc>
        <w:tc>
          <w:tcPr>
            <w:tcW w:w="1560" w:type="dxa"/>
            <w:vAlign w:val="center"/>
          </w:tcPr>
          <w:p w:rsidR="001A00C5" w:rsidRDefault="001A00C5" w:rsidP="001A00C5">
            <w:pPr>
              <w:jc w:val="center"/>
            </w:pPr>
            <w:r w:rsidRPr="007E7050">
              <w:rPr>
                <w:rFonts w:ascii="宋体" w:hAnsi="宋体" w:cs="宋体" w:hint="eastAsia"/>
                <w:kern w:val="0"/>
              </w:rPr>
              <w:t>/</w:t>
            </w:r>
          </w:p>
        </w:tc>
      </w:tr>
    </w:tbl>
    <w:p w:rsidR="00AF5743" w:rsidRDefault="00AF5743" w:rsidP="00AD7F0D">
      <w:pPr>
        <w:spacing w:line="480" w:lineRule="exact"/>
        <w:ind w:firstLineChars="200" w:firstLine="560"/>
        <w:outlineLvl w:val="0"/>
        <w:rPr>
          <w:rFonts w:asciiTheme="minorEastAsia" w:eastAsiaTheme="minorEastAsia" w:hAnsiTheme="minorEastAsia"/>
          <w:color w:val="000000"/>
          <w:sz w:val="28"/>
          <w:szCs w:val="28"/>
          <w:lang w:val="x-none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（二）</w:t>
      </w:r>
      <w:r w:rsidRPr="00AD7F0D">
        <w:rPr>
          <w:rFonts w:asciiTheme="minorEastAsia" w:eastAsiaTheme="minorEastAsia" w:hAnsiTheme="minorEastAsia" w:hint="eastAsia"/>
          <w:color w:val="000000"/>
          <w:sz w:val="28"/>
          <w:szCs w:val="28"/>
          <w:lang w:val="x-none"/>
        </w:rPr>
        <w:t>其他重大关联交易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F5743" w:rsidTr="00AD7F0D">
        <w:tc>
          <w:tcPr>
            <w:tcW w:w="8522" w:type="dxa"/>
          </w:tcPr>
          <w:p w:rsidR="00AF5743" w:rsidRDefault="00AF5743" w:rsidP="00AD7F0D">
            <w:pPr>
              <w:spacing w:line="480" w:lineRule="exact"/>
              <w:outlineLvl w:val="0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val="x-none"/>
              </w:rPr>
              <w:t>无。</w:t>
            </w:r>
          </w:p>
        </w:tc>
      </w:tr>
    </w:tbl>
    <w:p w:rsidR="00AF5743" w:rsidRPr="00E028E0" w:rsidRDefault="00AF5743" w:rsidP="00E028E0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八、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AF5743" w:rsidRPr="00437C59" w:rsidRDefault="00AF5743" w:rsidP="00C61B7B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AF5743" w:rsidRPr="00437C59" w:rsidRDefault="00AF5743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AF5743" w:rsidRPr="00437C59" w:rsidRDefault="00AF5743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AF5743" w:rsidRPr="00437C59" w:rsidRDefault="00AF5743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AF5743" w:rsidRPr="00437C59" w:rsidRDefault="00AF5743" w:rsidP="00814FC5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AF5743" w:rsidRPr="00437C59" w:rsidRDefault="00AF5743" w:rsidP="00C61B7B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F85E33" w:rsidRPr="00437C59" w:rsidRDefault="00F85E33" w:rsidP="00F85E33">
      <w:pPr>
        <w:spacing w:line="480" w:lineRule="exact"/>
        <w:ind w:right="-58" w:firstLineChars="200" w:firstLine="56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2019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="00CA29AB">
        <w:rPr>
          <w:rFonts w:asciiTheme="minorEastAsia" w:eastAsiaTheme="minorEastAsia" w:hAnsiTheme="minorEastAsia" w:hint="eastAsia"/>
          <w:color w:val="000000"/>
          <w:sz w:val="28"/>
          <w:szCs w:val="28"/>
        </w:rPr>
        <w:t>5</w:t>
      </w:r>
      <w:bookmarkStart w:id="0" w:name="_GoBack"/>
      <w:bookmarkEnd w:id="0"/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日</w:t>
      </w:r>
    </w:p>
    <w:p w:rsidR="00AF5743" w:rsidRDefault="00AF5743" w:rsidP="00C85517">
      <w:pPr>
        <w:rPr>
          <w:rFonts w:asciiTheme="minorEastAsia" w:eastAsiaTheme="minorEastAsia" w:hAnsiTheme="minorEastAsia"/>
        </w:rPr>
      </w:pPr>
      <w:r w:rsidRPr="00C61B7B">
        <w:rPr>
          <w:rFonts w:asciiTheme="minorEastAsia" w:eastAsiaTheme="minorEastAsia" w:hAnsiTheme="minorEastAsia"/>
        </w:rPr>
        <w:t xml:space="preserve"> </w:t>
      </w:r>
    </w:p>
    <w:p w:rsidR="00AF5743" w:rsidRDefault="00AF5743" w:rsidP="00783ADA">
      <w:pPr>
        <w:rPr>
          <w:b/>
          <w:color w:val="000000"/>
          <w:sz w:val="24"/>
          <w:szCs w:val="24"/>
        </w:rPr>
      </w:pPr>
    </w:p>
    <w:p w:rsidR="00AF5743" w:rsidRDefault="00AF5743" w:rsidP="00783ADA">
      <w:pPr>
        <w:rPr>
          <w:b/>
          <w:color w:val="000000"/>
          <w:sz w:val="24"/>
          <w:szCs w:val="24"/>
        </w:rPr>
      </w:pPr>
    </w:p>
    <w:p w:rsidR="00AF5743" w:rsidRDefault="00AF5743" w:rsidP="00783ADA">
      <w:pPr>
        <w:rPr>
          <w:b/>
          <w:color w:val="000000"/>
          <w:sz w:val="24"/>
          <w:szCs w:val="24"/>
        </w:rPr>
      </w:pPr>
    </w:p>
    <w:p w:rsidR="00AF5743" w:rsidRDefault="00AF5743" w:rsidP="00783ADA">
      <w:pPr>
        <w:rPr>
          <w:b/>
          <w:color w:val="000000"/>
          <w:sz w:val="24"/>
          <w:szCs w:val="24"/>
        </w:rPr>
      </w:pPr>
    </w:p>
    <w:p w:rsidR="00AF5743" w:rsidRDefault="00AF5743" w:rsidP="00783ADA">
      <w:pPr>
        <w:rPr>
          <w:b/>
          <w:color w:val="000000"/>
          <w:sz w:val="24"/>
          <w:szCs w:val="24"/>
        </w:rPr>
      </w:pPr>
    </w:p>
    <w:p w:rsidR="00AF5743" w:rsidRDefault="00AF5743" w:rsidP="00783ADA">
      <w:pPr>
        <w:rPr>
          <w:b/>
          <w:color w:val="000000"/>
          <w:sz w:val="24"/>
          <w:szCs w:val="24"/>
        </w:rPr>
      </w:pPr>
    </w:p>
    <w:p w:rsidR="00AF5743" w:rsidRDefault="00AF5743" w:rsidP="00783ADA">
      <w:pPr>
        <w:rPr>
          <w:b/>
          <w:color w:val="000000"/>
          <w:sz w:val="24"/>
          <w:szCs w:val="24"/>
        </w:rPr>
      </w:pPr>
    </w:p>
    <w:p w:rsidR="00AF5743" w:rsidRDefault="00AF5743" w:rsidP="00783ADA">
      <w:pPr>
        <w:rPr>
          <w:b/>
          <w:color w:val="000000"/>
          <w:sz w:val="24"/>
          <w:szCs w:val="24"/>
        </w:rPr>
      </w:pPr>
    </w:p>
    <w:p w:rsidR="00AF5743" w:rsidRDefault="00AF5743" w:rsidP="00783ADA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AF5743" w:rsidRDefault="00AF5743" w:rsidP="00783ADA">
      <w:pPr>
        <w:rPr>
          <w:b/>
          <w:color w:val="000000"/>
          <w:sz w:val="24"/>
          <w:szCs w:val="24"/>
        </w:rPr>
      </w:pPr>
    </w:p>
    <w:p w:rsidR="00AF5743" w:rsidRDefault="001A00C5" w:rsidP="00783ADA">
      <w:pPr>
        <w:jc w:val="center"/>
        <w:rPr>
          <w:b/>
          <w:color w:val="000000"/>
          <w:sz w:val="24"/>
          <w:szCs w:val="24"/>
        </w:rPr>
      </w:pPr>
      <w:r w:rsidRPr="001A00C5">
        <w:rPr>
          <w:rFonts w:hint="eastAsia"/>
          <w:b/>
          <w:color w:val="000000"/>
          <w:sz w:val="24"/>
          <w:szCs w:val="24"/>
        </w:rPr>
        <w:t>“乾元</w:t>
      </w:r>
      <w:r w:rsidRPr="001A00C5">
        <w:rPr>
          <w:rFonts w:hint="eastAsia"/>
          <w:b/>
          <w:color w:val="000000"/>
          <w:sz w:val="24"/>
          <w:szCs w:val="24"/>
        </w:rPr>
        <w:t>-</w:t>
      </w:r>
      <w:r w:rsidRPr="001A00C5">
        <w:rPr>
          <w:rFonts w:hint="eastAsia"/>
          <w:b/>
          <w:color w:val="000000"/>
          <w:sz w:val="24"/>
          <w:szCs w:val="24"/>
        </w:rPr>
        <w:t>私享”（净鑫净利）</w:t>
      </w:r>
      <w:r w:rsidRPr="001A00C5">
        <w:rPr>
          <w:rFonts w:hint="eastAsia"/>
          <w:b/>
          <w:color w:val="000000"/>
          <w:sz w:val="24"/>
          <w:szCs w:val="24"/>
        </w:rPr>
        <w:t>2018</w:t>
      </w:r>
      <w:r w:rsidRPr="001A00C5">
        <w:rPr>
          <w:rFonts w:hint="eastAsia"/>
          <w:b/>
          <w:color w:val="000000"/>
          <w:sz w:val="24"/>
          <w:szCs w:val="24"/>
        </w:rPr>
        <w:t>年第</w:t>
      </w:r>
      <w:r w:rsidRPr="001A00C5">
        <w:rPr>
          <w:rFonts w:hint="eastAsia"/>
          <w:b/>
          <w:color w:val="000000"/>
          <w:sz w:val="24"/>
          <w:szCs w:val="24"/>
        </w:rPr>
        <w:t>21</w:t>
      </w:r>
      <w:r w:rsidRPr="001A00C5">
        <w:rPr>
          <w:rFonts w:hint="eastAsia"/>
          <w:b/>
          <w:color w:val="000000"/>
          <w:sz w:val="24"/>
          <w:szCs w:val="24"/>
        </w:rPr>
        <w:t>期封闭式净值型私人银行人民币理财产品</w:t>
      </w:r>
      <w:r w:rsidR="00AF5743"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AF5743" w:rsidRDefault="00AF5743" w:rsidP="00783ADA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>
        <w:rPr>
          <w:rFonts w:ascii="宋体" w:hAnsi="宋体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</w:rPr>
        <w:t>9</w:t>
      </w:r>
      <w:r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</w:rPr>
        <w:t>30</w:t>
      </w:r>
      <w:r>
        <w:rPr>
          <w:rFonts w:ascii="宋体" w:hAnsi="宋体" w:hint="eastAsia"/>
          <w:color w:val="000000"/>
          <w:szCs w:val="21"/>
        </w:rPr>
        <w:t xml:space="preserve">日    </w:t>
      </w:r>
    </w:p>
    <w:p w:rsidR="00AF5743" w:rsidRDefault="00AF5743" w:rsidP="00783ADA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1A00C5" w:rsidRPr="001A00C5">
        <w:rPr>
          <w:rFonts w:ascii="宋体" w:hAnsi="宋体" w:hint="eastAsia"/>
          <w:color w:val="000000"/>
          <w:szCs w:val="21"/>
        </w:rPr>
        <w:t>“乾元-私享”（净鑫净利）2018年第21期封闭式净值型私人银行人民币理财产品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6"/>
        <w:gridCol w:w="4206"/>
        <w:gridCol w:w="1128"/>
        <w:gridCol w:w="850"/>
        <w:gridCol w:w="636"/>
      </w:tblGrid>
      <w:tr w:rsidR="00AF5743" w:rsidTr="001A00C5">
        <w:trPr>
          <w:trHeight w:val="765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43" w:rsidRDefault="00AF57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43" w:rsidRDefault="00AF57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743" w:rsidRDefault="00AF5743" w:rsidP="00660E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43" w:rsidRDefault="00AF57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743" w:rsidRDefault="00AF57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AF5743" w:rsidTr="001A00C5">
        <w:trPr>
          <w:trHeight w:val="240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5743" w:rsidRDefault="001A00C5">
            <w:pPr>
              <w:jc w:val="center"/>
            </w:pPr>
            <w:r w:rsidRPr="001A00C5">
              <w:rPr>
                <w:rFonts w:hint="eastAsia"/>
              </w:rPr>
              <w:t>资产收益权类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5743" w:rsidRDefault="001A00C5">
            <w:pPr>
              <w:jc w:val="center"/>
            </w:pPr>
            <w:r w:rsidRPr="001A00C5">
              <w:rPr>
                <w:rFonts w:hint="eastAsia"/>
              </w:rPr>
              <w:t>常熟市滨江城市建设经营投资有限责任公司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43" w:rsidRDefault="001A00C5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5743" w:rsidRDefault="001A00C5">
            <w:pPr>
              <w:jc w:val="center"/>
            </w:pPr>
            <w:r>
              <w:rPr>
                <w:rFonts w:hint="eastAsia"/>
              </w:rPr>
              <w:t>427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5743" w:rsidRDefault="001A00C5">
            <w:pPr>
              <w:widowControl/>
              <w:jc w:val="left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 w:hint="eastAsia"/>
              </w:rPr>
              <w:t>正常</w:t>
            </w:r>
          </w:p>
        </w:tc>
      </w:tr>
      <w:tr w:rsidR="001A00C5" w:rsidTr="001A00C5">
        <w:trPr>
          <w:trHeight w:val="240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0C5" w:rsidRDefault="001A00C5" w:rsidP="001A00C5">
            <w:pPr>
              <w:jc w:val="center"/>
            </w:pPr>
            <w:r w:rsidRPr="00B51032">
              <w:rPr>
                <w:rFonts w:hint="eastAsia"/>
              </w:rPr>
              <w:t>/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0C5" w:rsidRDefault="001A00C5" w:rsidP="001A00C5">
            <w:pPr>
              <w:jc w:val="center"/>
            </w:pPr>
            <w:r w:rsidRPr="00B51032">
              <w:rPr>
                <w:rFonts w:hint="eastAsia"/>
              </w:rPr>
              <w:t>/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C5" w:rsidRDefault="001A00C5" w:rsidP="001A00C5">
            <w:pPr>
              <w:jc w:val="center"/>
            </w:pPr>
            <w:r w:rsidRPr="00B51032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0C5" w:rsidRDefault="001A00C5" w:rsidP="001A00C5">
            <w:pPr>
              <w:jc w:val="center"/>
            </w:pPr>
            <w:r w:rsidRPr="00B51032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0C5" w:rsidRDefault="001A00C5" w:rsidP="001A00C5">
            <w:pPr>
              <w:jc w:val="center"/>
            </w:pPr>
            <w:r w:rsidRPr="00B51032">
              <w:rPr>
                <w:rFonts w:hint="eastAsia"/>
              </w:rPr>
              <w:t>/</w:t>
            </w:r>
          </w:p>
        </w:tc>
      </w:tr>
      <w:tr w:rsidR="001A00C5" w:rsidTr="001A00C5">
        <w:trPr>
          <w:trHeight w:val="240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0C5" w:rsidRDefault="001A00C5" w:rsidP="001A00C5">
            <w:pPr>
              <w:jc w:val="center"/>
            </w:pPr>
            <w:r w:rsidRPr="00B51032">
              <w:rPr>
                <w:rFonts w:hint="eastAsia"/>
              </w:rPr>
              <w:t>/</w:t>
            </w:r>
          </w:p>
        </w:tc>
        <w:tc>
          <w:tcPr>
            <w:tcW w:w="2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0C5" w:rsidRDefault="001A00C5" w:rsidP="001A00C5">
            <w:pPr>
              <w:jc w:val="center"/>
            </w:pPr>
            <w:r w:rsidRPr="00B51032">
              <w:rPr>
                <w:rFonts w:hint="eastAsia"/>
              </w:rPr>
              <w:t>/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0C5" w:rsidRDefault="001A00C5" w:rsidP="001A00C5">
            <w:pPr>
              <w:jc w:val="center"/>
            </w:pPr>
            <w:r w:rsidRPr="00B51032">
              <w:rPr>
                <w:rFonts w:hint="eastAsia"/>
              </w:rPr>
              <w:t>/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00C5" w:rsidRDefault="001A00C5" w:rsidP="001A00C5">
            <w:pPr>
              <w:jc w:val="center"/>
            </w:pPr>
            <w:r w:rsidRPr="00B51032">
              <w:rPr>
                <w:rFonts w:hint="eastAsia"/>
              </w:rPr>
              <w:t>/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0C5" w:rsidRDefault="001A00C5" w:rsidP="001A00C5">
            <w:pPr>
              <w:jc w:val="center"/>
            </w:pPr>
            <w:r w:rsidRPr="00B51032">
              <w:rPr>
                <w:rFonts w:hint="eastAsia"/>
              </w:rPr>
              <w:t>/</w:t>
            </w:r>
          </w:p>
        </w:tc>
      </w:tr>
    </w:tbl>
    <w:p w:rsidR="00AF5743" w:rsidRPr="004B78FA" w:rsidRDefault="00AF5743" w:rsidP="004738BC">
      <w:pPr>
        <w:spacing w:line="480" w:lineRule="exact"/>
        <w:rPr>
          <w:rFonts w:ascii="宋体" w:hAnsi="宋体"/>
          <w:color w:val="000000"/>
          <w:szCs w:val="21"/>
        </w:rPr>
      </w:pPr>
      <w:r w:rsidRPr="001A00C5">
        <w:rPr>
          <w:rFonts w:ascii="宋体" w:hAnsi="宋体" w:hint="eastAsia"/>
          <w:color w:val="00000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</w:t>
      </w:r>
      <w:r w:rsidR="001A00C5">
        <w:rPr>
          <w:rFonts w:ascii="宋体" w:hAnsi="宋体" w:hint="eastAsia"/>
          <w:color w:val="000000"/>
          <w:szCs w:val="21"/>
        </w:rPr>
        <w:t>无</w:t>
      </w:r>
      <w:r w:rsidR="001A00C5">
        <w:rPr>
          <w:rFonts w:ascii="宋体" w:hAnsi="宋体"/>
          <w:color w:val="000000"/>
          <w:szCs w:val="21"/>
        </w:rPr>
        <w:t>。</w:t>
      </w:r>
    </w:p>
    <w:p w:rsidR="00AF5743" w:rsidRPr="001A00C5" w:rsidRDefault="00AF5743" w:rsidP="001A00C5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  <w:sectPr w:rsidR="00AF5743" w:rsidRPr="001A00C5" w:rsidSect="00AF574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1A00C5">
        <w:rPr>
          <w:rFonts w:ascii="宋体" w:hAnsi="宋体" w:hint="eastAsia"/>
          <w:color w:val="000000"/>
          <w:szCs w:val="21"/>
        </w:rPr>
        <w:t>到期收益分配详见产品说明书。</w:t>
      </w:r>
    </w:p>
    <w:p w:rsidR="00AF5743" w:rsidRPr="004738BC" w:rsidRDefault="00AF5743" w:rsidP="004738BC">
      <w:pPr>
        <w:spacing w:line="480" w:lineRule="exact"/>
        <w:rPr>
          <w:rFonts w:ascii="宋体" w:hAnsi="宋体"/>
          <w:color w:val="000000"/>
          <w:szCs w:val="21"/>
        </w:rPr>
      </w:pPr>
    </w:p>
    <w:sectPr w:rsidR="00AF5743" w:rsidRPr="004738BC" w:rsidSect="00AF574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0C" w:rsidRDefault="00C7690C" w:rsidP="00747E15">
      <w:r>
        <w:separator/>
      </w:r>
    </w:p>
  </w:endnote>
  <w:endnote w:type="continuationSeparator" w:id="0">
    <w:p w:rsidR="00C7690C" w:rsidRDefault="00C7690C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0C" w:rsidRDefault="00C7690C" w:rsidP="00747E15">
      <w:r>
        <w:separator/>
      </w:r>
    </w:p>
  </w:footnote>
  <w:footnote w:type="continuationSeparator" w:id="0">
    <w:p w:rsidR="00C7690C" w:rsidRDefault="00C7690C" w:rsidP="0074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4B"/>
    <w:rsid w:val="00000EA6"/>
    <w:rsid w:val="00004B86"/>
    <w:rsid w:val="00026C30"/>
    <w:rsid w:val="00032483"/>
    <w:rsid w:val="00034EB1"/>
    <w:rsid w:val="00041CF5"/>
    <w:rsid w:val="0004473E"/>
    <w:rsid w:val="00050B6D"/>
    <w:rsid w:val="00057F41"/>
    <w:rsid w:val="00062AD3"/>
    <w:rsid w:val="00063A00"/>
    <w:rsid w:val="00064987"/>
    <w:rsid w:val="000A58C0"/>
    <w:rsid w:val="000A7A07"/>
    <w:rsid w:val="000B2257"/>
    <w:rsid w:val="000B6D04"/>
    <w:rsid w:val="000F4ED6"/>
    <w:rsid w:val="000F5E7E"/>
    <w:rsid w:val="00106270"/>
    <w:rsid w:val="00117AFB"/>
    <w:rsid w:val="00120614"/>
    <w:rsid w:val="00120E2F"/>
    <w:rsid w:val="001253E2"/>
    <w:rsid w:val="00126391"/>
    <w:rsid w:val="001309EA"/>
    <w:rsid w:val="00131840"/>
    <w:rsid w:val="00132193"/>
    <w:rsid w:val="00153C80"/>
    <w:rsid w:val="00154D69"/>
    <w:rsid w:val="0015543C"/>
    <w:rsid w:val="001645F7"/>
    <w:rsid w:val="001654BE"/>
    <w:rsid w:val="0017482E"/>
    <w:rsid w:val="0017771F"/>
    <w:rsid w:val="00194B35"/>
    <w:rsid w:val="0019525A"/>
    <w:rsid w:val="001A00C5"/>
    <w:rsid w:val="001A1254"/>
    <w:rsid w:val="001A1F0C"/>
    <w:rsid w:val="001A204D"/>
    <w:rsid w:val="001C207C"/>
    <w:rsid w:val="001C51CC"/>
    <w:rsid w:val="001E0ABA"/>
    <w:rsid w:val="001E60BC"/>
    <w:rsid w:val="001E70EA"/>
    <w:rsid w:val="001F3D33"/>
    <w:rsid w:val="001F4173"/>
    <w:rsid w:val="00202B18"/>
    <w:rsid w:val="00206C50"/>
    <w:rsid w:val="00212278"/>
    <w:rsid w:val="00215713"/>
    <w:rsid w:val="002228F3"/>
    <w:rsid w:val="00225A63"/>
    <w:rsid w:val="00233ACD"/>
    <w:rsid w:val="00240A06"/>
    <w:rsid w:val="00240B03"/>
    <w:rsid w:val="00245012"/>
    <w:rsid w:val="00260D03"/>
    <w:rsid w:val="00264E8C"/>
    <w:rsid w:val="00266DC8"/>
    <w:rsid w:val="00272D45"/>
    <w:rsid w:val="002767A0"/>
    <w:rsid w:val="00285C70"/>
    <w:rsid w:val="00286C46"/>
    <w:rsid w:val="002900EE"/>
    <w:rsid w:val="00292733"/>
    <w:rsid w:val="00293553"/>
    <w:rsid w:val="002974F6"/>
    <w:rsid w:val="002A0C80"/>
    <w:rsid w:val="002A2DCC"/>
    <w:rsid w:val="002B1B4E"/>
    <w:rsid w:val="002E0822"/>
    <w:rsid w:val="002F02E2"/>
    <w:rsid w:val="002F21B2"/>
    <w:rsid w:val="00305DE3"/>
    <w:rsid w:val="00326849"/>
    <w:rsid w:val="00332886"/>
    <w:rsid w:val="00333409"/>
    <w:rsid w:val="00346C2E"/>
    <w:rsid w:val="003729DF"/>
    <w:rsid w:val="00373677"/>
    <w:rsid w:val="0039500D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029"/>
    <w:rsid w:val="00467A3A"/>
    <w:rsid w:val="004738BC"/>
    <w:rsid w:val="0048507A"/>
    <w:rsid w:val="00491FFA"/>
    <w:rsid w:val="00495958"/>
    <w:rsid w:val="004A39A1"/>
    <w:rsid w:val="004A7B18"/>
    <w:rsid w:val="004B773D"/>
    <w:rsid w:val="004B78FA"/>
    <w:rsid w:val="004C1B42"/>
    <w:rsid w:val="004C2FFD"/>
    <w:rsid w:val="004C54B2"/>
    <w:rsid w:val="004D6FF3"/>
    <w:rsid w:val="004D72CA"/>
    <w:rsid w:val="00553503"/>
    <w:rsid w:val="00556FF5"/>
    <w:rsid w:val="00574C73"/>
    <w:rsid w:val="00575AC8"/>
    <w:rsid w:val="00581772"/>
    <w:rsid w:val="00584D88"/>
    <w:rsid w:val="005902E2"/>
    <w:rsid w:val="005965D6"/>
    <w:rsid w:val="005A7E4B"/>
    <w:rsid w:val="005B3D06"/>
    <w:rsid w:val="005C491D"/>
    <w:rsid w:val="005D075A"/>
    <w:rsid w:val="005E1AF9"/>
    <w:rsid w:val="005F0968"/>
    <w:rsid w:val="00605150"/>
    <w:rsid w:val="00610506"/>
    <w:rsid w:val="006317AB"/>
    <w:rsid w:val="006318C9"/>
    <w:rsid w:val="006342A8"/>
    <w:rsid w:val="006350AB"/>
    <w:rsid w:val="00637ADC"/>
    <w:rsid w:val="00657E0A"/>
    <w:rsid w:val="00660E94"/>
    <w:rsid w:val="006761CD"/>
    <w:rsid w:val="00690080"/>
    <w:rsid w:val="00691D50"/>
    <w:rsid w:val="006965E7"/>
    <w:rsid w:val="006B7D67"/>
    <w:rsid w:val="006C418D"/>
    <w:rsid w:val="006D1B33"/>
    <w:rsid w:val="006D216F"/>
    <w:rsid w:val="006D3D24"/>
    <w:rsid w:val="006D509E"/>
    <w:rsid w:val="006D7FA4"/>
    <w:rsid w:val="006F03B9"/>
    <w:rsid w:val="006F51AA"/>
    <w:rsid w:val="00702BA8"/>
    <w:rsid w:val="00712AAE"/>
    <w:rsid w:val="00721E88"/>
    <w:rsid w:val="007224EB"/>
    <w:rsid w:val="00725E07"/>
    <w:rsid w:val="0072777A"/>
    <w:rsid w:val="00730420"/>
    <w:rsid w:val="00732817"/>
    <w:rsid w:val="00735338"/>
    <w:rsid w:val="007367C1"/>
    <w:rsid w:val="007372CD"/>
    <w:rsid w:val="00742813"/>
    <w:rsid w:val="00743C62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4195"/>
    <w:rsid w:val="00854722"/>
    <w:rsid w:val="0088235C"/>
    <w:rsid w:val="00887E97"/>
    <w:rsid w:val="00892297"/>
    <w:rsid w:val="008A3209"/>
    <w:rsid w:val="008A689A"/>
    <w:rsid w:val="008B49F2"/>
    <w:rsid w:val="008E0006"/>
    <w:rsid w:val="008E7AFD"/>
    <w:rsid w:val="008F7A19"/>
    <w:rsid w:val="00900022"/>
    <w:rsid w:val="00907C16"/>
    <w:rsid w:val="00914F94"/>
    <w:rsid w:val="00920FF8"/>
    <w:rsid w:val="00923258"/>
    <w:rsid w:val="0092330C"/>
    <w:rsid w:val="00925096"/>
    <w:rsid w:val="0093043C"/>
    <w:rsid w:val="00930B50"/>
    <w:rsid w:val="009331AC"/>
    <w:rsid w:val="00933ABD"/>
    <w:rsid w:val="00941557"/>
    <w:rsid w:val="00957B5C"/>
    <w:rsid w:val="00960A76"/>
    <w:rsid w:val="00961315"/>
    <w:rsid w:val="0096155A"/>
    <w:rsid w:val="0096707E"/>
    <w:rsid w:val="00976495"/>
    <w:rsid w:val="00977AA9"/>
    <w:rsid w:val="00985B43"/>
    <w:rsid w:val="0099268F"/>
    <w:rsid w:val="00992C67"/>
    <w:rsid w:val="00994651"/>
    <w:rsid w:val="009A0441"/>
    <w:rsid w:val="009A1651"/>
    <w:rsid w:val="009A1E28"/>
    <w:rsid w:val="009C482A"/>
    <w:rsid w:val="009D1164"/>
    <w:rsid w:val="009E1E7B"/>
    <w:rsid w:val="009E28EF"/>
    <w:rsid w:val="009E48DB"/>
    <w:rsid w:val="009F16C9"/>
    <w:rsid w:val="009F2326"/>
    <w:rsid w:val="00A00212"/>
    <w:rsid w:val="00A032E0"/>
    <w:rsid w:val="00A05A71"/>
    <w:rsid w:val="00A16C84"/>
    <w:rsid w:val="00A20C0F"/>
    <w:rsid w:val="00A221AD"/>
    <w:rsid w:val="00A22C1A"/>
    <w:rsid w:val="00A25D53"/>
    <w:rsid w:val="00A36BDD"/>
    <w:rsid w:val="00A4578C"/>
    <w:rsid w:val="00A66F45"/>
    <w:rsid w:val="00A735E4"/>
    <w:rsid w:val="00A74958"/>
    <w:rsid w:val="00A82E23"/>
    <w:rsid w:val="00AB48A1"/>
    <w:rsid w:val="00AB53D1"/>
    <w:rsid w:val="00AC0790"/>
    <w:rsid w:val="00AC12D7"/>
    <w:rsid w:val="00AC7CDE"/>
    <w:rsid w:val="00AD558F"/>
    <w:rsid w:val="00AD5E04"/>
    <w:rsid w:val="00AD7F0D"/>
    <w:rsid w:val="00AF5743"/>
    <w:rsid w:val="00B01C5E"/>
    <w:rsid w:val="00B020F5"/>
    <w:rsid w:val="00B06B93"/>
    <w:rsid w:val="00B15284"/>
    <w:rsid w:val="00B17455"/>
    <w:rsid w:val="00B256B5"/>
    <w:rsid w:val="00B33523"/>
    <w:rsid w:val="00B4205F"/>
    <w:rsid w:val="00B42469"/>
    <w:rsid w:val="00B466B4"/>
    <w:rsid w:val="00B71F10"/>
    <w:rsid w:val="00B93E97"/>
    <w:rsid w:val="00BA2D90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01CF"/>
    <w:rsid w:val="00C118E8"/>
    <w:rsid w:val="00C257ED"/>
    <w:rsid w:val="00C561DF"/>
    <w:rsid w:val="00C61B7B"/>
    <w:rsid w:val="00C715DB"/>
    <w:rsid w:val="00C720CE"/>
    <w:rsid w:val="00C7690C"/>
    <w:rsid w:val="00C85517"/>
    <w:rsid w:val="00C86E63"/>
    <w:rsid w:val="00C91AB5"/>
    <w:rsid w:val="00C95779"/>
    <w:rsid w:val="00CA29AB"/>
    <w:rsid w:val="00CB3AEC"/>
    <w:rsid w:val="00CC33AD"/>
    <w:rsid w:val="00CC48F5"/>
    <w:rsid w:val="00CF3B2C"/>
    <w:rsid w:val="00D07160"/>
    <w:rsid w:val="00D1212F"/>
    <w:rsid w:val="00D137A7"/>
    <w:rsid w:val="00D160FD"/>
    <w:rsid w:val="00D23DE7"/>
    <w:rsid w:val="00D30981"/>
    <w:rsid w:val="00D4526D"/>
    <w:rsid w:val="00D50E73"/>
    <w:rsid w:val="00D51247"/>
    <w:rsid w:val="00D5232C"/>
    <w:rsid w:val="00D570FB"/>
    <w:rsid w:val="00D57BDC"/>
    <w:rsid w:val="00D62D31"/>
    <w:rsid w:val="00DA5D3B"/>
    <w:rsid w:val="00DB4B6B"/>
    <w:rsid w:val="00DC041F"/>
    <w:rsid w:val="00DC0BC9"/>
    <w:rsid w:val="00DE7BE6"/>
    <w:rsid w:val="00DF32AC"/>
    <w:rsid w:val="00E028E0"/>
    <w:rsid w:val="00E160D9"/>
    <w:rsid w:val="00E24F4A"/>
    <w:rsid w:val="00E27018"/>
    <w:rsid w:val="00E31B0A"/>
    <w:rsid w:val="00E40B6C"/>
    <w:rsid w:val="00E40EB7"/>
    <w:rsid w:val="00E56948"/>
    <w:rsid w:val="00E716F5"/>
    <w:rsid w:val="00E76F46"/>
    <w:rsid w:val="00E77447"/>
    <w:rsid w:val="00E935EE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20317"/>
    <w:rsid w:val="00F217C2"/>
    <w:rsid w:val="00F2223F"/>
    <w:rsid w:val="00F24867"/>
    <w:rsid w:val="00F3232E"/>
    <w:rsid w:val="00F328DC"/>
    <w:rsid w:val="00F33FC4"/>
    <w:rsid w:val="00F423A9"/>
    <w:rsid w:val="00F438DB"/>
    <w:rsid w:val="00F4754D"/>
    <w:rsid w:val="00F54032"/>
    <w:rsid w:val="00F568C2"/>
    <w:rsid w:val="00F61C96"/>
    <w:rsid w:val="00F65572"/>
    <w:rsid w:val="00F65660"/>
    <w:rsid w:val="00F7336C"/>
    <w:rsid w:val="00F85E33"/>
    <w:rsid w:val="00FA0B51"/>
    <w:rsid w:val="00FB2BDB"/>
    <w:rsid w:val="00FB5E90"/>
    <w:rsid w:val="00FB7F1F"/>
    <w:rsid w:val="00FD1228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C67F9-5981-4E3F-82DC-CE82730B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15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D7F0D"/>
    <w:pPr>
      <w:keepNext/>
      <w:keepLines/>
      <w:widowControl/>
      <w:spacing w:before="260" w:after="260" w:line="416" w:lineRule="auto"/>
      <w:jc w:val="left"/>
      <w:outlineLvl w:val="2"/>
    </w:pPr>
    <w:rPr>
      <w:rFonts w:eastAsia="Calibri"/>
      <w:b/>
      <w:bCs/>
      <w:color w:val="00000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footnote reference"/>
    <w:qFormat/>
    <w:rsid w:val="00062AD3"/>
    <w:rPr>
      <w:vertAlign w:val="superscript"/>
    </w:rPr>
  </w:style>
  <w:style w:type="character" w:customStyle="1" w:styleId="Char2">
    <w:name w:val="脚注文本 Char"/>
    <w:link w:val="a8"/>
    <w:qFormat/>
    <w:rsid w:val="00062AD3"/>
    <w:rPr>
      <w:rFonts w:ascii="宋体"/>
      <w:sz w:val="18"/>
      <w:szCs w:val="18"/>
    </w:rPr>
  </w:style>
  <w:style w:type="paragraph" w:styleId="a8">
    <w:name w:val="footnote text"/>
    <w:basedOn w:val="a"/>
    <w:link w:val="Char2"/>
    <w:qFormat/>
    <w:rsid w:val="00062AD3"/>
    <w:pPr>
      <w:tabs>
        <w:tab w:val="left" w:pos="0"/>
        <w:tab w:val="num" w:pos="360"/>
      </w:tabs>
      <w:snapToGrid w:val="0"/>
      <w:jc w:val="left"/>
    </w:pPr>
    <w:rPr>
      <w:rFonts w:ascii="宋体" w:eastAsiaTheme="minorEastAsia" w:hAnsiTheme="minorHAnsi" w:cstheme="minorBidi"/>
      <w:sz w:val="18"/>
      <w:szCs w:val="18"/>
    </w:rPr>
  </w:style>
  <w:style w:type="character" w:customStyle="1" w:styleId="Char10">
    <w:name w:val="脚注文本 Char1"/>
    <w:basedOn w:val="a0"/>
    <w:uiPriority w:val="99"/>
    <w:semiHidden/>
    <w:rsid w:val="00062AD3"/>
    <w:rPr>
      <w:rFonts w:ascii="Calibri" w:eastAsia="宋体" w:hAnsi="Calibri" w:cs="Times New Roman"/>
      <w:sz w:val="18"/>
      <w:szCs w:val="18"/>
    </w:rPr>
  </w:style>
  <w:style w:type="table" w:styleId="a9">
    <w:name w:val="Table Grid"/>
    <w:basedOn w:val="a1"/>
    <w:uiPriority w:val="59"/>
    <w:rsid w:val="009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qFormat/>
    <w:rsid w:val="00AD7F0D"/>
    <w:rPr>
      <w:rFonts w:ascii="Calibri" w:eastAsia="Calibri" w:hAnsi="Calibri" w:cs="Times New Roman"/>
      <w:b/>
      <w:bCs/>
      <w:color w:val="000000"/>
      <w:sz w:val="32"/>
      <w:szCs w:val="32"/>
      <w:lang w:val="x-none" w:eastAsia="x-none"/>
    </w:rPr>
  </w:style>
  <w:style w:type="character" w:customStyle="1" w:styleId="2Char">
    <w:name w:val="标题 2 Char"/>
    <w:basedOn w:val="a0"/>
    <w:link w:val="2"/>
    <w:uiPriority w:val="9"/>
    <w:semiHidden/>
    <w:rsid w:val="00C715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965E7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6965E7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6965E7"/>
    <w:rPr>
      <w:rFonts w:ascii="Calibri" w:eastAsia="宋体" w:hAnsi="Calibri" w:cs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965E7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6965E7"/>
    <w:rPr>
      <w:rFonts w:ascii="Calibri" w:eastAsia="宋体" w:hAnsi="Calibri" w:cs="Times New Roman"/>
      <w:b/>
      <w:bCs/>
    </w:rPr>
  </w:style>
  <w:style w:type="paragraph" w:styleId="ad">
    <w:name w:val="Revision"/>
    <w:hidden/>
    <w:uiPriority w:val="99"/>
    <w:semiHidden/>
    <w:rsid w:val="006965E7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13BB-6148-4E11-AB5E-E9C63B7D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林宵宇</cp:lastModifiedBy>
  <cp:revision>11</cp:revision>
  <cp:lastPrinted>2019-09-03T02:43:00Z</cp:lastPrinted>
  <dcterms:created xsi:type="dcterms:W3CDTF">2019-10-12T10:15:00Z</dcterms:created>
  <dcterms:modified xsi:type="dcterms:W3CDTF">2019-10-16T06:09:00Z</dcterms:modified>
</cp:coreProperties>
</file>