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02" w:rsidRPr="00437C59" w:rsidRDefault="00254D02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“乾元-私享”（净鑫净利）2018年第26期封闭式净值型私人银行人民币理财产品</w:t>
      </w:r>
      <w:r w:rsidR="007D741A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254D02" w:rsidRPr="00437C59" w:rsidRDefault="00254D02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54D02" w:rsidRPr="00437C59" w:rsidRDefault="00254D02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“乾元-私享”（净鑫净利）2018年第26期封闭式净值型私人银行人民币理财产品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7D741A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年12月6日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159</w:t>
      </w:r>
      <w:r w:rsidR="007D741A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100</w:t>
      </w:r>
      <w:r w:rsidR="007D741A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152.28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254D02" w:rsidRPr="00437C59" w:rsidRDefault="00254D0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254D02" w:rsidRDefault="00254D02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1.03987</w:t>
      </w:r>
      <w:r w:rsidR="00A4112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254D02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254D02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54D02" w:rsidRDefault="00254D02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1.03987</w:t>
            </w:r>
            <w:r w:rsidR="007D741A">
              <w:rPr>
                <w:rFonts w:ascii="宋体" w:hAnsi="宋体" w:cs="宋体"/>
                <w:noProof/>
                <w:kern w:val="0"/>
              </w:rPr>
              <w:t>0</w:t>
            </w:r>
          </w:p>
        </w:tc>
        <w:tc>
          <w:tcPr>
            <w:tcW w:w="1701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1.039870</w:t>
            </w:r>
          </w:p>
        </w:tc>
        <w:tc>
          <w:tcPr>
            <w:tcW w:w="1701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159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100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152.28</w:t>
            </w:r>
          </w:p>
        </w:tc>
      </w:tr>
      <w:tr w:rsidR="00254D02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1.036062</w:t>
            </w:r>
          </w:p>
        </w:tc>
        <w:tc>
          <w:tcPr>
            <w:tcW w:w="1701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1.036062</w:t>
            </w:r>
          </w:p>
        </w:tc>
        <w:tc>
          <w:tcPr>
            <w:tcW w:w="1701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158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517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453.0</w:t>
            </w:r>
            <w:r w:rsidR="007D741A">
              <w:rPr>
                <w:rFonts w:ascii="宋体" w:hAnsi="宋体" w:cs="宋体"/>
                <w:noProof/>
                <w:kern w:val="0"/>
              </w:rPr>
              <w:t>1</w:t>
            </w:r>
          </w:p>
        </w:tc>
      </w:tr>
      <w:tr w:rsidR="00254D02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1.03136</w:t>
            </w:r>
            <w:r w:rsidR="007D741A">
              <w:rPr>
                <w:rFonts w:ascii="宋体" w:hAnsi="宋体" w:cs="宋体"/>
                <w:noProof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1.03136</w:t>
            </w:r>
            <w:r w:rsidR="007D741A">
              <w:rPr>
                <w:rFonts w:ascii="宋体" w:hAnsi="宋体" w:cs="宋体"/>
                <w:noProof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157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798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348.3</w:t>
            </w:r>
            <w:r w:rsidR="007D741A">
              <w:rPr>
                <w:rFonts w:ascii="宋体" w:hAnsi="宋体" w:cs="宋体"/>
                <w:noProof/>
                <w:kern w:val="0"/>
              </w:rPr>
              <w:t>9</w:t>
            </w:r>
          </w:p>
        </w:tc>
      </w:tr>
      <w:tr w:rsidR="00254D02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1.02760</w:t>
            </w:r>
            <w:r w:rsidR="007D741A">
              <w:rPr>
                <w:rFonts w:ascii="宋体" w:hAnsi="宋体" w:cs="宋体"/>
                <w:noProof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1.02760</w:t>
            </w:r>
            <w:r w:rsidR="007D741A">
              <w:rPr>
                <w:rFonts w:ascii="宋体" w:hAnsi="宋体" w:cs="宋体"/>
                <w:noProof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254D02" w:rsidRDefault="00254D02" w:rsidP="007D741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157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223</w:t>
            </w:r>
            <w:r w:rsidR="007D741A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064.68</w:t>
            </w:r>
          </w:p>
        </w:tc>
      </w:tr>
    </w:tbl>
    <w:p w:rsidR="00254D02" w:rsidRPr="00E31B0A" w:rsidRDefault="00254D02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254D02" w:rsidRPr="00E31B0A" w:rsidRDefault="00254D02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254D02" w:rsidRPr="00E31B0A" w:rsidTr="00892297">
        <w:trPr>
          <w:trHeight w:val="589"/>
        </w:trPr>
        <w:tc>
          <w:tcPr>
            <w:tcW w:w="2943" w:type="dxa"/>
            <w:vAlign w:val="center"/>
          </w:tcPr>
          <w:p w:rsidR="00254D02" w:rsidRPr="00E31B0A" w:rsidRDefault="00254D02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254D02" w:rsidRPr="00E31B0A" w:rsidRDefault="00254D02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254D02" w:rsidRPr="00E31B0A" w:rsidRDefault="00254D02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254D02" w:rsidRPr="00E31B0A" w:rsidRDefault="00254D02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254D02" w:rsidRPr="00E31B0A" w:rsidRDefault="00254D02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254D02" w:rsidRPr="00E31B0A" w:rsidTr="00892297">
        <w:trPr>
          <w:trHeight w:val="519"/>
        </w:trPr>
        <w:tc>
          <w:tcPr>
            <w:tcW w:w="2943" w:type="dxa"/>
            <w:vAlign w:val="center"/>
          </w:tcPr>
          <w:p w:rsidR="00254D02" w:rsidRPr="00E31B0A" w:rsidRDefault="00254D02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“乾元-私享”（净鑫净利）2018年第26期封闭式净值型私人银行人民币理财产品</w:t>
            </w:r>
          </w:p>
        </w:tc>
        <w:tc>
          <w:tcPr>
            <w:tcW w:w="1418" w:type="dxa"/>
            <w:vAlign w:val="center"/>
          </w:tcPr>
          <w:p w:rsidR="00254D02" w:rsidRPr="00E31B0A" w:rsidRDefault="00254D0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D705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/12/3</w:t>
            </w:r>
          </w:p>
        </w:tc>
        <w:tc>
          <w:tcPr>
            <w:tcW w:w="1417" w:type="dxa"/>
            <w:vAlign w:val="center"/>
          </w:tcPr>
          <w:p w:rsidR="00254D02" w:rsidRPr="00E31B0A" w:rsidRDefault="00D705E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/12/5</w:t>
            </w:r>
          </w:p>
        </w:tc>
        <w:tc>
          <w:tcPr>
            <w:tcW w:w="1418" w:type="dxa"/>
            <w:vAlign w:val="center"/>
          </w:tcPr>
          <w:p w:rsidR="00254D02" w:rsidRPr="00E31B0A" w:rsidRDefault="00D705E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/12/6</w:t>
            </w:r>
          </w:p>
        </w:tc>
        <w:tc>
          <w:tcPr>
            <w:tcW w:w="1326" w:type="dxa"/>
            <w:vAlign w:val="center"/>
          </w:tcPr>
          <w:p w:rsidR="00254D02" w:rsidRPr="00E31B0A" w:rsidRDefault="00D705E2" w:rsidP="00D705E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2020/1/13</w:t>
            </w:r>
          </w:p>
        </w:tc>
      </w:tr>
    </w:tbl>
    <w:p w:rsidR="00254D02" w:rsidRPr="00437C59" w:rsidRDefault="00254D02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254D02" w:rsidRPr="00437C59" w:rsidRDefault="00254D02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254D02" w:rsidRDefault="00254D02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254D02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254D02" w:rsidRDefault="00254D02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2547" w:type="dxa"/>
            <w:vAlign w:val="center"/>
          </w:tcPr>
          <w:p w:rsidR="003371EF" w:rsidRDefault="003371EF" w:rsidP="003371E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1,496.23</w:t>
            </w:r>
          </w:p>
        </w:tc>
        <w:tc>
          <w:tcPr>
            <w:tcW w:w="184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9.34%</w:t>
            </w:r>
          </w:p>
        </w:tc>
        <w:tc>
          <w:tcPr>
            <w:tcW w:w="1418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1,496.23</w:t>
            </w:r>
          </w:p>
        </w:tc>
        <w:tc>
          <w:tcPr>
            <w:tcW w:w="1842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9.34%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2547" w:type="dxa"/>
            <w:vAlign w:val="center"/>
          </w:tcPr>
          <w:p w:rsidR="003371EF" w:rsidRDefault="003371EF" w:rsidP="003371E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2547" w:type="dxa"/>
            <w:vAlign w:val="center"/>
          </w:tcPr>
          <w:p w:rsidR="003371EF" w:rsidRDefault="003371EF" w:rsidP="003371E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371EF"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3371EF">
              <w:rPr>
                <w:rFonts w:ascii="宋体" w:hAnsi="宋体" w:cs="宋体"/>
                <w:kern w:val="0"/>
              </w:rPr>
              <w:t>519</w:t>
            </w:r>
            <w:r>
              <w:rPr>
                <w:rFonts w:ascii="宋体" w:hAnsi="宋体" w:cs="宋体" w:hint="eastAsia"/>
                <w:kern w:val="0"/>
              </w:rPr>
              <w:t>.28</w:t>
            </w:r>
          </w:p>
        </w:tc>
        <w:tc>
          <w:tcPr>
            <w:tcW w:w="184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90.66%</w:t>
            </w:r>
          </w:p>
        </w:tc>
        <w:tc>
          <w:tcPr>
            <w:tcW w:w="1418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371EF">
              <w:rPr>
                <w:rFonts w:ascii="宋体" w:hAnsi="宋体" w:cs="宋体"/>
                <w:kern w:val="0"/>
              </w:rPr>
              <w:t>14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3371EF">
              <w:rPr>
                <w:rFonts w:ascii="宋体" w:hAnsi="宋体" w:cs="宋体"/>
                <w:kern w:val="0"/>
              </w:rPr>
              <w:t>519</w:t>
            </w:r>
            <w:r>
              <w:rPr>
                <w:rFonts w:ascii="宋体" w:hAnsi="宋体" w:cs="宋体" w:hint="eastAsia"/>
                <w:kern w:val="0"/>
              </w:rPr>
              <w:t>.28</w:t>
            </w:r>
          </w:p>
        </w:tc>
        <w:tc>
          <w:tcPr>
            <w:tcW w:w="1842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90.66%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2547" w:type="dxa"/>
            <w:vAlign w:val="center"/>
          </w:tcPr>
          <w:p w:rsidR="003371EF" w:rsidRDefault="003371EF" w:rsidP="003371E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2547" w:type="dxa"/>
            <w:vAlign w:val="center"/>
          </w:tcPr>
          <w:p w:rsidR="003371EF" w:rsidRDefault="003371EF" w:rsidP="003371EF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16,015.51</w:t>
            </w:r>
          </w:p>
        </w:tc>
        <w:tc>
          <w:tcPr>
            <w:tcW w:w="184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16,015.51</w:t>
            </w:r>
          </w:p>
        </w:tc>
        <w:tc>
          <w:tcPr>
            <w:tcW w:w="1842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254D02" w:rsidRDefault="00254D02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531"/>
        <w:gridCol w:w="1820"/>
        <w:gridCol w:w="1721"/>
      </w:tblGrid>
      <w:tr w:rsidR="00254D02" w:rsidRPr="00437C59" w:rsidTr="003371EF">
        <w:trPr>
          <w:trHeight w:val="589"/>
          <w:jc w:val="center"/>
        </w:trPr>
        <w:tc>
          <w:tcPr>
            <w:tcW w:w="1224" w:type="dxa"/>
            <w:vAlign w:val="center"/>
          </w:tcPr>
          <w:p w:rsidR="00254D02" w:rsidRPr="00C85517" w:rsidRDefault="00254D02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31" w:type="dxa"/>
            <w:vAlign w:val="center"/>
          </w:tcPr>
          <w:p w:rsidR="00254D02" w:rsidRPr="00C85517" w:rsidRDefault="00254D02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20" w:type="dxa"/>
            <w:vAlign w:val="center"/>
          </w:tcPr>
          <w:p w:rsidR="00254D02" w:rsidRPr="00C85517" w:rsidRDefault="00254D02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1" w:type="dxa"/>
            <w:vAlign w:val="center"/>
          </w:tcPr>
          <w:p w:rsidR="00254D02" w:rsidRPr="00C85517" w:rsidRDefault="00254D02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254D02" w:rsidRPr="00437C59" w:rsidTr="003371EF">
        <w:trPr>
          <w:trHeight w:val="496"/>
          <w:jc w:val="center"/>
        </w:trPr>
        <w:tc>
          <w:tcPr>
            <w:tcW w:w="1224" w:type="dxa"/>
            <w:vAlign w:val="center"/>
          </w:tcPr>
          <w:p w:rsidR="00254D02" w:rsidRPr="00C720CE" w:rsidRDefault="00254D02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31" w:type="dxa"/>
            <w:vAlign w:val="center"/>
          </w:tcPr>
          <w:p w:rsidR="00254D02" w:rsidRPr="00C720CE" w:rsidRDefault="003371EF" w:rsidP="003371EF">
            <w:pPr>
              <w:jc w:val="center"/>
              <w:rPr>
                <w:rFonts w:asciiTheme="minorEastAsia" w:eastAsiaTheme="minorEastAsia" w:hAnsiTheme="minorEastAsia"/>
              </w:rPr>
            </w:pPr>
            <w:r w:rsidRPr="003371EF">
              <w:rPr>
                <w:rFonts w:asciiTheme="minorEastAsia" w:eastAsiaTheme="minorEastAsia" w:hAnsiTheme="minorEastAsia" w:hint="eastAsia"/>
              </w:rPr>
              <w:t>18苏州黄埭城乡AB001</w:t>
            </w:r>
          </w:p>
        </w:tc>
        <w:tc>
          <w:tcPr>
            <w:tcW w:w="1820" w:type="dxa"/>
            <w:vAlign w:val="center"/>
          </w:tcPr>
          <w:p w:rsidR="00254D02" w:rsidRPr="00C720CE" w:rsidRDefault="003371EF" w:rsidP="003371EF">
            <w:pPr>
              <w:jc w:val="center"/>
              <w:rPr>
                <w:rFonts w:asciiTheme="minorEastAsia" w:eastAsiaTheme="minorEastAsia" w:hAnsiTheme="minorEastAsia"/>
              </w:rPr>
            </w:pPr>
            <w:r w:rsidRPr="003371EF">
              <w:rPr>
                <w:rFonts w:asciiTheme="minorEastAsia" w:eastAsiaTheme="minorEastAsia" w:hAnsiTheme="minorEastAsia"/>
              </w:rPr>
              <w:t>145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3371EF">
              <w:rPr>
                <w:rFonts w:asciiTheme="minorEastAsia" w:eastAsiaTheme="minorEastAsia" w:hAnsiTheme="minorEastAsia"/>
              </w:rPr>
              <w:t>192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3371EF">
              <w:rPr>
                <w:rFonts w:asciiTheme="minorEastAsia" w:eastAsiaTheme="minorEastAsia" w:hAnsiTheme="minorEastAsia"/>
              </w:rPr>
              <w:t>751.14</w:t>
            </w:r>
          </w:p>
        </w:tc>
        <w:tc>
          <w:tcPr>
            <w:tcW w:w="1721" w:type="dxa"/>
            <w:vAlign w:val="center"/>
          </w:tcPr>
          <w:p w:rsidR="00254D02" w:rsidRPr="00C720CE" w:rsidRDefault="003371EF" w:rsidP="003371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90.66%</w:t>
            </w:r>
          </w:p>
        </w:tc>
      </w:tr>
      <w:tr w:rsidR="003371EF" w:rsidRPr="00437C59" w:rsidTr="003371EF">
        <w:trPr>
          <w:trHeight w:val="496"/>
          <w:jc w:val="center"/>
        </w:trPr>
        <w:tc>
          <w:tcPr>
            <w:tcW w:w="1224" w:type="dxa"/>
            <w:vAlign w:val="center"/>
          </w:tcPr>
          <w:p w:rsidR="003371EF" w:rsidRPr="00C720CE" w:rsidRDefault="003371EF" w:rsidP="003371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31" w:type="dxa"/>
            <w:vAlign w:val="center"/>
          </w:tcPr>
          <w:p w:rsidR="003371EF" w:rsidRDefault="003371EF" w:rsidP="003371EF">
            <w:pPr>
              <w:jc w:val="center"/>
            </w:pPr>
            <w:r w:rsidRPr="00E5045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20" w:type="dxa"/>
            <w:vAlign w:val="center"/>
          </w:tcPr>
          <w:p w:rsidR="003371EF" w:rsidRDefault="003371EF" w:rsidP="003371EF">
            <w:pPr>
              <w:jc w:val="center"/>
            </w:pPr>
            <w:r w:rsidRPr="00E5045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1" w:type="dxa"/>
            <w:vAlign w:val="center"/>
          </w:tcPr>
          <w:p w:rsidR="003371EF" w:rsidRDefault="003371EF" w:rsidP="003371EF">
            <w:pPr>
              <w:jc w:val="center"/>
            </w:pPr>
            <w:r w:rsidRPr="00E50455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371EF" w:rsidRPr="00437C59" w:rsidTr="003371EF">
        <w:trPr>
          <w:trHeight w:val="496"/>
          <w:jc w:val="center"/>
        </w:trPr>
        <w:tc>
          <w:tcPr>
            <w:tcW w:w="1224" w:type="dxa"/>
            <w:vAlign w:val="center"/>
          </w:tcPr>
          <w:p w:rsidR="003371EF" w:rsidRPr="00C720CE" w:rsidRDefault="003371EF" w:rsidP="003371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31" w:type="dxa"/>
            <w:vAlign w:val="center"/>
          </w:tcPr>
          <w:p w:rsidR="003371EF" w:rsidRDefault="003371EF" w:rsidP="003371EF">
            <w:pPr>
              <w:jc w:val="center"/>
            </w:pPr>
            <w:r w:rsidRPr="00E5045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20" w:type="dxa"/>
            <w:vAlign w:val="center"/>
          </w:tcPr>
          <w:p w:rsidR="003371EF" w:rsidRDefault="003371EF" w:rsidP="003371EF">
            <w:pPr>
              <w:jc w:val="center"/>
            </w:pPr>
            <w:r w:rsidRPr="00E50455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1" w:type="dxa"/>
            <w:vAlign w:val="center"/>
          </w:tcPr>
          <w:p w:rsidR="003371EF" w:rsidRDefault="003371EF" w:rsidP="003371EF">
            <w:pPr>
              <w:jc w:val="center"/>
            </w:pPr>
            <w:r w:rsidRPr="00E50455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254D02" w:rsidRDefault="00254D02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254D02" w:rsidRDefault="00254D02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254D02" w:rsidRDefault="00254D02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54D0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02" w:rsidRDefault="00254D0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526ABF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254D02" w:rsidRDefault="00254D02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254D02" w:rsidRDefault="00254D0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254D0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02" w:rsidRDefault="003371EF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3371E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 w:rsidRPr="003371EF"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  <w:t>。</w:t>
            </w:r>
          </w:p>
        </w:tc>
      </w:tr>
    </w:tbl>
    <w:p w:rsidR="00254D02" w:rsidRDefault="00254D02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254D02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254D02" w:rsidRDefault="00254D0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254D02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254D02" w:rsidRDefault="003371EF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371EF">
              <w:rPr>
                <w:rFonts w:ascii="宋体" w:hAnsi="宋体" w:cs="宋体"/>
                <w:kern w:val="0"/>
              </w:rPr>
              <w:t>44050186320100001990-0055</w:t>
            </w:r>
          </w:p>
        </w:tc>
        <w:tc>
          <w:tcPr>
            <w:tcW w:w="1843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254D02" w:rsidRDefault="00254D02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254D02" w:rsidRDefault="00254D02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254D02" w:rsidTr="003371EF">
        <w:trPr>
          <w:trHeight w:val="285"/>
          <w:jc w:val="center"/>
        </w:trPr>
        <w:tc>
          <w:tcPr>
            <w:tcW w:w="793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254D02" w:rsidRDefault="00254D0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254D02" w:rsidRDefault="00254D0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79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F9776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F9776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F9776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3371EF" w:rsidRDefault="003371EF" w:rsidP="003371EF">
            <w:pPr>
              <w:jc w:val="center"/>
            </w:pPr>
            <w:r w:rsidRPr="00F9776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3371EF" w:rsidRDefault="003371EF" w:rsidP="003371EF">
            <w:pPr>
              <w:jc w:val="center"/>
            </w:pPr>
            <w:r w:rsidRPr="00F9776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3371EF" w:rsidRDefault="003371EF" w:rsidP="003371EF">
            <w:pPr>
              <w:jc w:val="center"/>
            </w:pPr>
            <w:r w:rsidRPr="00F97767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79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371EF" w:rsidTr="003371EF">
        <w:trPr>
          <w:trHeight w:val="285"/>
          <w:jc w:val="center"/>
        </w:trPr>
        <w:tc>
          <w:tcPr>
            <w:tcW w:w="793" w:type="dxa"/>
            <w:vAlign w:val="center"/>
          </w:tcPr>
          <w:p w:rsidR="003371EF" w:rsidRDefault="003371EF" w:rsidP="003371E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3371EF" w:rsidRDefault="003371EF" w:rsidP="003371EF">
            <w:pPr>
              <w:jc w:val="center"/>
            </w:pPr>
            <w:r w:rsidRPr="00520810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254D02" w:rsidRDefault="00254D02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54D02" w:rsidTr="00AD7F0D">
        <w:tc>
          <w:tcPr>
            <w:tcW w:w="8522" w:type="dxa"/>
          </w:tcPr>
          <w:p w:rsidR="00254D02" w:rsidRDefault="00254D02" w:rsidP="003371EF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3371EF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254D02" w:rsidRPr="00E028E0" w:rsidRDefault="00254D02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254D02" w:rsidRPr="00437C59" w:rsidRDefault="00254D02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254D02" w:rsidRPr="00437C59" w:rsidRDefault="00254D02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254D02" w:rsidRPr="00437C59" w:rsidRDefault="00254D02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254D02" w:rsidRPr="00437C59" w:rsidRDefault="00254D02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254D02" w:rsidRPr="00437C59" w:rsidRDefault="00254D02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254D02" w:rsidRPr="00437C59" w:rsidRDefault="00254D02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94153" w:rsidRPr="00437C59" w:rsidRDefault="00394153" w:rsidP="00394153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526ABF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254D02" w:rsidRDefault="00254D02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254D02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254D02" w:rsidRDefault="00254D02" w:rsidP="00783ADA">
      <w:pPr>
        <w:rPr>
          <w:b/>
          <w:color w:val="000000"/>
          <w:sz w:val="24"/>
          <w:szCs w:val="24"/>
        </w:rPr>
      </w:pPr>
    </w:p>
    <w:p w:rsidR="00254D02" w:rsidRDefault="003371EF" w:rsidP="00783ADA">
      <w:pPr>
        <w:jc w:val="center"/>
        <w:rPr>
          <w:b/>
          <w:color w:val="000000"/>
          <w:sz w:val="24"/>
          <w:szCs w:val="24"/>
        </w:rPr>
      </w:pPr>
      <w:r w:rsidRPr="003371EF">
        <w:rPr>
          <w:rFonts w:hint="eastAsia"/>
          <w:b/>
          <w:color w:val="000000"/>
          <w:sz w:val="24"/>
          <w:szCs w:val="24"/>
        </w:rPr>
        <w:t>“乾元</w:t>
      </w:r>
      <w:r w:rsidRPr="003371EF">
        <w:rPr>
          <w:rFonts w:hint="eastAsia"/>
          <w:b/>
          <w:color w:val="000000"/>
          <w:sz w:val="24"/>
          <w:szCs w:val="24"/>
        </w:rPr>
        <w:t>-</w:t>
      </w:r>
      <w:r w:rsidRPr="003371EF">
        <w:rPr>
          <w:rFonts w:hint="eastAsia"/>
          <w:b/>
          <w:color w:val="000000"/>
          <w:sz w:val="24"/>
          <w:szCs w:val="24"/>
        </w:rPr>
        <w:t>私享”（净鑫净利）</w:t>
      </w:r>
      <w:r w:rsidRPr="003371EF">
        <w:rPr>
          <w:rFonts w:hint="eastAsia"/>
          <w:b/>
          <w:color w:val="000000"/>
          <w:sz w:val="24"/>
          <w:szCs w:val="24"/>
        </w:rPr>
        <w:t>2018</w:t>
      </w:r>
      <w:r w:rsidRPr="003371EF">
        <w:rPr>
          <w:rFonts w:hint="eastAsia"/>
          <w:b/>
          <w:color w:val="000000"/>
          <w:sz w:val="24"/>
          <w:szCs w:val="24"/>
        </w:rPr>
        <w:t>年第</w:t>
      </w:r>
      <w:r w:rsidRPr="003371EF">
        <w:rPr>
          <w:rFonts w:hint="eastAsia"/>
          <w:b/>
          <w:color w:val="000000"/>
          <w:sz w:val="24"/>
          <w:szCs w:val="24"/>
        </w:rPr>
        <w:t>26</w:t>
      </w:r>
      <w:r w:rsidRPr="003371EF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254D02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254D02" w:rsidRDefault="00254D02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254D02" w:rsidRDefault="00254D02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371EF" w:rsidRPr="003371EF">
        <w:rPr>
          <w:rFonts w:ascii="宋体" w:hAnsi="宋体" w:hint="eastAsia"/>
          <w:color w:val="000000"/>
          <w:szCs w:val="21"/>
        </w:rPr>
        <w:t>“乾元-私享”（净鑫净利）2018年第26期封闭式净值型私人银行人民币理财产品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254D02" w:rsidTr="003371EF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02" w:rsidRDefault="00254D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02" w:rsidRDefault="00254D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D02" w:rsidRDefault="00254D02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02" w:rsidRDefault="00254D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02" w:rsidRDefault="00254D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254D02" w:rsidTr="003371EF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D02" w:rsidRDefault="003371EF">
            <w:pPr>
              <w:jc w:val="center"/>
            </w:pPr>
            <w:r w:rsidRPr="003371EF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D02" w:rsidRDefault="003371EF">
            <w:pPr>
              <w:jc w:val="center"/>
            </w:pPr>
            <w:r w:rsidRPr="003371EF">
              <w:rPr>
                <w:rFonts w:hint="eastAsia"/>
              </w:rPr>
              <w:t>苏州市相城区黄埭城乡发展有限公司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D02" w:rsidRDefault="003371EF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4D02" w:rsidRDefault="003371EF">
            <w:pPr>
              <w:jc w:val="center"/>
            </w:pPr>
            <w:r w:rsidRPr="003371EF">
              <w:t>104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D02" w:rsidRDefault="003371EF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3371EF" w:rsidTr="003371EF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</w:tr>
      <w:tr w:rsidR="003371EF" w:rsidTr="003371EF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1EF" w:rsidRDefault="003371EF" w:rsidP="003371EF">
            <w:pPr>
              <w:jc w:val="center"/>
            </w:pPr>
            <w:r w:rsidRPr="0086102F">
              <w:rPr>
                <w:rFonts w:hint="eastAsia"/>
              </w:rPr>
              <w:t>/</w:t>
            </w:r>
          </w:p>
        </w:tc>
      </w:tr>
    </w:tbl>
    <w:p w:rsidR="00254D02" w:rsidRPr="004B78FA" w:rsidRDefault="00254D02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3371EF">
        <w:rPr>
          <w:rFonts w:ascii="宋体" w:hAnsi="宋体" w:hint="eastAsia"/>
          <w:color w:val="000000"/>
          <w:szCs w:val="21"/>
        </w:rPr>
        <w:t>无</w:t>
      </w:r>
      <w:r w:rsidR="003371EF">
        <w:rPr>
          <w:rFonts w:ascii="宋体" w:hAnsi="宋体"/>
          <w:color w:val="000000"/>
          <w:szCs w:val="21"/>
        </w:rPr>
        <w:t>。</w:t>
      </w:r>
    </w:p>
    <w:p w:rsidR="00254D02" w:rsidRPr="003371EF" w:rsidRDefault="00254D02" w:rsidP="003371EF">
      <w:pPr>
        <w:spacing w:line="480" w:lineRule="exact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  <w:sectPr w:rsidR="00254D02" w:rsidRPr="003371EF" w:rsidSect="00254D02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3371EF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到期收益分配详见产品说明书。</w:t>
      </w:r>
    </w:p>
    <w:p w:rsidR="00254D02" w:rsidRPr="004738BC" w:rsidRDefault="00254D02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254D02" w:rsidRPr="004738BC" w:rsidSect="00254D0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C7" w:rsidRDefault="00B535C7" w:rsidP="00747E15">
      <w:r>
        <w:separator/>
      </w:r>
    </w:p>
  </w:endnote>
  <w:endnote w:type="continuationSeparator" w:id="0">
    <w:p w:rsidR="00B535C7" w:rsidRDefault="00B535C7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C7" w:rsidRDefault="00B535C7" w:rsidP="00747E15">
      <w:r>
        <w:separator/>
      </w:r>
    </w:p>
  </w:footnote>
  <w:footnote w:type="continuationSeparator" w:id="0">
    <w:p w:rsidR="00B535C7" w:rsidRDefault="00B535C7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249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284C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54D0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371EF"/>
    <w:rsid w:val="00346C2E"/>
    <w:rsid w:val="003729DF"/>
    <w:rsid w:val="00373677"/>
    <w:rsid w:val="00394153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26ABF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D1397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741A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1122"/>
    <w:rsid w:val="00A4578C"/>
    <w:rsid w:val="00A66F45"/>
    <w:rsid w:val="00A735E4"/>
    <w:rsid w:val="00A74958"/>
    <w:rsid w:val="00A82E23"/>
    <w:rsid w:val="00A922DA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27A18"/>
    <w:rsid w:val="00B33523"/>
    <w:rsid w:val="00B4205F"/>
    <w:rsid w:val="00B42469"/>
    <w:rsid w:val="00B466B4"/>
    <w:rsid w:val="00B535C7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705E2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6EDD-53BF-4753-BC73-48DB6C1E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12</cp:revision>
  <cp:lastPrinted>2019-09-03T02:43:00Z</cp:lastPrinted>
  <dcterms:created xsi:type="dcterms:W3CDTF">2019-10-12T10:16:00Z</dcterms:created>
  <dcterms:modified xsi:type="dcterms:W3CDTF">2019-10-16T06:10:00Z</dcterms:modified>
</cp:coreProperties>
</file>