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508E" w:rsidRPr="000A2AC6" w:rsidRDefault="00803CF9" w:rsidP="00803CF9">
      <w:pPr>
        <w:widowControl/>
        <w:spacing w:before="100" w:beforeAutospacing="1"/>
        <w:jc w:val="center"/>
        <w:outlineLvl w:val="1"/>
        <w:rPr>
          <w:rFonts w:asciiTheme="majorEastAsia" w:eastAsiaTheme="majorEastAsia" w:hAnsiTheme="majorEastAsia" w:cs="Arial"/>
          <w:b/>
          <w:bCs/>
          <w:color w:val="666666"/>
          <w:kern w:val="0"/>
          <w:sz w:val="32"/>
          <w:szCs w:val="32"/>
        </w:rPr>
      </w:pPr>
      <w:r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河北省分行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“乾元</w:t>
      </w:r>
      <w:r w:rsidR="009D5E02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通宝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-全鑫全溢”（按日）开放式资产组合型人民币理财产品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2018年</w:t>
      </w:r>
      <w:r w:rsidR="00A348E9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9</w:t>
      </w:r>
      <w:r w:rsidR="0058297B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月</w:t>
      </w:r>
      <w:r w:rsidR="000A2AC6" w:rsidRPr="000A2AC6">
        <w:rPr>
          <w:rFonts w:asciiTheme="majorEastAsia" w:eastAsiaTheme="majorEastAsia" w:hAnsiTheme="majorEastAsia" w:cs="Arial" w:hint="eastAsia"/>
          <w:b/>
          <w:bCs/>
          <w:color w:val="666666"/>
          <w:kern w:val="0"/>
          <w:sz w:val="32"/>
          <w:szCs w:val="32"/>
        </w:rPr>
        <w:t>投资管理报告</w:t>
      </w:r>
    </w:p>
    <w:p w:rsidR="00374CBE" w:rsidRPr="0058297B" w:rsidRDefault="00374CBE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</w:p>
    <w:p w:rsidR="000A2AC6" w:rsidRDefault="000A2AC6" w:rsidP="000A2AC6">
      <w:pPr>
        <w:widowControl/>
        <w:spacing w:line="460" w:lineRule="exact"/>
        <w:ind w:firstLineChars="200" w:firstLine="480"/>
        <w:jc w:val="center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报告日：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2018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12</w:t>
      </w: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972C8C" w:rsidRPr="000A2AC6" w:rsidRDefault="00972C8C" w:rsidP="000A2AC6">
      <w:pPr>
        <w:widowControl/>
        <w:spacing w:line="460" w:lineRule="exact"/>
        <w:ind w:firstLineChars="200" w:firstLine="480"/>
        <w:jc w:val="center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0A2AC6" w:rsidRPr="002A09BE" w:rsidRDefault="002A09BE" w:rsidP="009E09DB">
      <w:pPr>
        <w:jc w:val="left"/>
        <w:rPr>
          <w:rFonts w:ascii="宋体" w:eastAsia="宋体" w:hAnsi="宋体" w:cs="宋体"/>
          <w:b/>
          <w:bCs/>
          <w:color w:val="000000"/>
          <w:kern w:val="0"/>
          <w:sz w:val="20"/>
          <w:szCs w:val="20"/>
        </w:rPr>
      </w:pP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   </w:t>
      </w:r>
      <w:r w:rsidR="009906C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中国建设银行河北省分行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“乾元</w:t>
      </w:r>
      <w:r w:rsidR="009D5E02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通宝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-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全鑫全溢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”（按日）开放式资产组合型人民币理财产品于201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6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日正式成立。截至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0</w:t>
      </w:r>
      <w:r w:rsid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  <w:r w:rsidR="000A2AC6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，本产品规模为</w:t>
      </w:r>
      <w:r w:rsidR="00A348E9" w:rsidRPr="00A348E9"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  <w:t>706,128.46</w:t>
      </w:r>
      <w:r w:rsidR="0058297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万</w:t>
      </w:r>
      <w:r w:rsidR="000A2AC6" w:rsidRP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元。</w:t>
      </w:r>
    </w:p>
    <w:p w:rsidR="000A2AC6" w:rsidRPr="000A2AC6" w:rsidRDefault="000A2AC6" w:rsidP="000A2AC6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一、报告期投资者实际收益率</w:t>
      </w:r>
    </w:p>
    <w:p w:rsidR="00705DED" w:rsidRPr="00705DED" w:rsidRDefault="000A2AC6" w:rsidP="00705DED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根据产品说明书的约定，</w:t>
      </w:r>
      <w:bookmarkStart w:id="0" w:name="_GoBack"/>
      <w:bookmarkEnd w:id="0"/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073B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日至201</w:t>
      </w:r>
      <w:r w:rsidR="00816291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9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9E09DB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3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0</w:t>
      </w:r>
      <w:r w:rsidR="00816291"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日投资者实际收益率如下表所示：</w:t>
      </w:r>
      <w:r w:rsidR="00705DED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 xml:space="preserve"> </w:t>
      </w:r>
    </w:p>
    <w:tbl>
      <w:tblPr>
        <w:tblW w:w="4842" w:type="pct"/>
        <w:jc w:val="center"/>
        <w:tblInd w:w="-318" w:type="dxa"/>
        <w:tblLook w:val="04A0" w:firstRow="1" w:lastRow="0" w:firstColumn="1" w:lastColumn="0" w:noHBand="0" w:noVBand="1"/>
      </w:tblPr>
      <w:tblGrid>
        <w:gridCol w:w="1531"/>
        <w:gridCol w:w="1334"/>
        <w:gridCol w:w="1276"/>
        <w:gridCol w:w="1418"/>
        <w:gridCol w:w="1418"/>
        <w:gridCol w:w="1276"/>
      </w:tblGrid>
      <w:tr w:rsidR="00816291" w:rsidRPr="000A2AC6" w:rsidTr="009713A5">
        <w:trPr>
          <w:trHeight w:val="270"/>
          <w:jc w:val="center"/>
        </w:trPr>
        <w:tc>
          <w:tcPr>
            <w:tcW w:w="9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投资期</w:t>
            </w:r>
          </w:p>
        </w:tc>
        <w:tc>
          <w:tcPr>
            <w:tcW w:w="80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1≤T&lt;30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30≤T&lt;90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90≤T&lt;180</w:t>
            </w:r>
          </w:p>
        </w:tc>
        <w:tc>
          <w:tcPr>
            <w:tcW w:w="85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180≤T&lt;365</w:t>
            </w:r>
          </w:p>
        </w:tc>
        <w:tc>
          <w:tcPr>
            <w:tcW w:w="77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T≥365</w:t>
            </w:r>
          </w:p>
        </w:tc>
      </w:tr>
      <w:tr w:rsidR="00816291" w:rsidRPr="000A2AC6" w:rsidTr="009713A5">
        <w:trPr>
          <w:trHeight w:val="510"/>
          <w:jc w:val="center"/>
        </w:trPr>
        <w:tc>
          <w:tcPr>
            <w:tcW w:w="92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投资者实际收益率</w:t>
            </w:r>
          </w:p>
        </w:tc>
        <w:tc>
          <w:tcPr>
            <w:tcW w:w="80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3.00%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2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85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3.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6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0%</w:t>
            </w:r>
          </w:p>
        </w:tc>
        <w:tc>
          <w:tcPr>
            <w:tcW w:w="77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16291" w:rsidRPr="000A2AC6" w:rsidRDefault="00816291" w:rsidP="009713A5">
            <w:pPr>
              <w:widowControl/>
              <w:spacing w:line="480" w:lineRule="auto"/>
              <w:jc w:val="center"/>
              <w:rPr>
                <w:rFonts w:ascii="宋体" w:eastAsia="宋体" w:hAnsi="宋体" w:cs="宋体"/>
                <w:color w:val="666666"/>
                <w:kern w:val="0"/>
                <w:sz w:val="24"/>
                <w:szCs w:val="24"/>
              </w:rPr>
            </w:pP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4.0</w:t>
            </w:r>
            <w:r w:rsidR="002A09BE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0</w:t>
            </w:r>
            <w:r w:rsidRPr="00526F0F">
              <w:rPr>
                <w:rFonts w:ascii="宋体" w:hAnsi="宋体" w:cs="宋体" w:hint="eastAsia"/>
                <w:color w:val="000000"/>
                <w:kern w:val="0"/>
                <w:sz w:val="24"/>
                <w:szCs w:val="21"/>
              </w:rPr>
              <w:t>%</w:t>
            </w:r>
          </w:p>
        </w:tc>
      </w:tr>
    </w:tbl>
    <w:p w:rsidR="000A2AC6" w:rsidRPr="000A2AC6" w:rsidRDefault="000A2AC6" w:rsidP="00A073B6">
      <w:pPr>
        <w:widowControl/>
        <w:spacing w:line="460" w:lineRule="exact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其中：T为投资期，单位：天</w:t>
      </w:r>
    </w:p>
    <w:p w:rsidR="00816291" w:rsidRPr="00A073B6" w:rsidRDefault="000A2AC6" w:rsidP="00A073B6">
      <w:pPr>
        <w:widowControl/>
        <w:spacing w:line="460" w:lineRule="exact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0A2AC6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相关收益及计算方法，请具体查阅对应的收益率调整公告及产品说明书。</w:t>
      </w:r>
    </w:p>
    <w:p w:rsidR="00D963BB" w:rsidRPr="00374CBE" w:rsidRDefault="000A2AC6" w:rsidP="00A073B6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二、产品</w:t>
      </w:r>
      <w:r w:rsidR="0066332E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资产</w:t>
      </w:r>
      <w:r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投资组合</w:t>
      </w:r>
      <w:r w:rsidRPr="000A2AC6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073B6" w:rsidRDefault="009E09DB" w:rsidP="009E09DB">
      <w:pPr>
        <w:widowControl/>
        <w:spacing w:line="240" w:lineRule="atLeas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  <w:r>
        <w:rPr>
          <w:rFonts w:asciiTheme="minorEastAsia" w:hAnsiTheme="minorEastAsia" w:cs="宋体"/>
          <w:b/>
          <w:noProof/>
          <w:color w:val="000000" w:themeColor="text1"/>
          <w:kern w:val="0"/>
          <w:sz w:val="24"/>
          <w:szCs w:val="21"/>
        </w:rPr>
        <w:drawing>
          <wp:inline distT="0" distB="0" distL="0" distR="0">
            <wp:extent cx="5274310" cy="3076575"/>
            <wp:effectExtent l="0" t="0" r="21590" b="9525"/>
            <wp:docPr id="2" name="图表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D878D2" w:rsidRDefault="00D878D2" w:rsidP="00A45C13">
      <w:pPr>
        <w:widowControl/>
        <w:spacing w:line="460" w:lineRule="exact"/>
        <w:ind w:firstLineChars="200" w:firstLine="482"/>
        <w:jc w:val="left"/>
        <w:rPr>
          <w:rFonts w:asciiTheme="minorEastAsia" w:hAnsiTheme="minorEastAsia" w:cs="宋体"/>
          <w:b/>
          <w:color w:val="000000" w:themeColor="text1"/>
          <w:kern w:val="0"/>
          <w:sz w:val="24"/>
          <w:szCs w:val="21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2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lastRenderedPageBreak/>
        <w:t>三、产品</w:t>
      </w:r>
      <w:proofErr w:type="gramStart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体运作</w:t>
      </w:r>
      <w:proofErr w:type="gramEnd"/>
      <w:r w:rsidRPr="009C6B39">
        <w:rPr>
          <w:rFonts w:asciiTheme="minorEastAsia" w:hAnsiTheme="minorEastAsia" w:cs="宋体" w:hint="eastAsia"/>
          <w:b/>
          <w:color w:val="000000" w:themeColor="text1"/>
          <w:kern w:val="0"/>
          <w:sz w:val="24"/>
          <w:szCs w:val="21"/>
        </w:rPr>
        <w:t>情况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（1）自本产品成立起至本报告日，产品管理人恪尽职守、勤勉尽责、谨慎管理，忠实履行有关法律、行政法规和相关文件的规定。</w:t>
      </w: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（2）截至本报告日，所有投资资产正常运营，未发现有异常情况或者不利情况。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Theme="minorEastAsia" w:hAnsiTheme="minorEastAsia" w:cs="宋体"/>
          <w:color w:val="000000" w:themeColor="text1"/>
          <w:kern w:val="0"/>
          <w:sz w:val="24"/>
          <w:szCs w:val="21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（3）本产品自成立至本报告日，没有发生涉诉及诉讼等损害投资者利益的情形。</w:t>
      </w:r>
    </w:p>
    <w:p w:rsidR="00A45C13" w:rsidRDefault="00A45C13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691A08" w:rsidRPr="00691A08" w:rsidRDefault="00691A08" w:rsidP="00A45C13">
      <w:pPr>
        <w:widowControl/>
        <w:spacing w:line="460" w:lineRule="exact"/>
        <w:ind w:firstLineChars="200" w:firstLine="480"/>
        <w:jc w:val="left"/>
        <w:rPr>
          <w:rFonts w:ascii="宋体" w:eastAsia="宋体" w:hAnsi="宋体" w:cs="宋体"/>
          <w:color w:val="666666"/>
          <w:kern w:val="0"/>
          <w:sz w:val="24"/>
          <w:szCs w:val="24"/>
        </w:rPr>
      </w:pPr>
    </w:p>
    <w:p w:rsidR="00A45C13" w:rsidRPr="009C6B39" w:rsidRDefault="00A45C13" w:rsidP="00A45C13">
      <w:pPr>
        <w:widowControl/>
        <w:spacing w:line="460" w:lineRule="exact"/>
        <w:ind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中国建设银行</w:t>
      </w:r>
      <w:r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河北省分行</w:t>
      </w:r>
    </w:p>
    <w:p w:rsidR="00A45C13" w:rsidRPr="009C6B39" w:rsidRDefault="00A45C13" w:rsidP="00A45C13">
      <w:pPr>
        <w:widowControl/>
        <w:spacing w:line="460" w:lineRule="exact"/>
        <w:ind w:right="360" w:firstLineChars="200" w:firstLine="480"/>
        <w:jc w:val="right"/>
        <w:rPr>
          <w:rFonts w:ascii="宋体" w:eastAsia="宋体" w:hAnsi="宋体" w:cs="宋体"/>
          <w:color w:val="666666"/>
          <w:kern w:val="0"/>
          <w:sz w:val="24"/>
          <w:szCs w:val="24"/>
        </w:rPr>
      </w:pP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201</w:t>
      </w:r>
      <w:r w:rsidR="00EF2FB4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8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年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10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月</w:t>
      </w:r>
      <w:r w:rsidR="00A348E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12</w:t>
      </w:r>
      <w:r w:rsidRPr="009C6B39">
        <w:rPr>
          <w:rFonts w:asciiTheme="minorEastAsia" w:hAnsiTheme="minorEastAsia" w:cs="宋体" w:hint="eastAsia"/>
          <w:color w:val="000000" w:themeColor="text1"/>
          <w:kern w:val="0"/>
          <w:sz w:val="24"/>
          <w:szCs w:val="21"/>
        </w:rPr>
        <w:t>日</w:t>
      </w:r>
    </w:p>
    <w:p w:rsidR="00A45C13" w:rsidRPr="000A2AC6" w:rsidRDefault="00A45C13" w:rsidP="00A45C13">
      <w:pPr>
        <w:jc w:val="left"/>
      </w:pPr>
    </w:p>
    <w:sectPr w:rsidR="00A45C13" w:rsidRPr="000A2A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31136" w:rsidRDefault="00531136" w:rsidP="00676160">
      <w:r>
        <w:separator/>
      </w:r>
    </w:p>
  </w:endnote>
  <w:endnote w:type="continuationSeparator" w:id="0">
    <w:p w:rsidR="00531136" w:rsidRDefault="00531136" w:rsidP="006761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31136" w:rsidRDefault="00531136" w:rsidP="00676160">
      <w:r>
        <w:separator/>
      </w:r>
    </w:p>
  </w:footnote>
  <w:footnote w:type="continuationSeparator" w:id="0">
    <w:p w:rsidR="00531136" w:rsidRDefault="00531136" w:rsidP="0067616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ocumentProtection w:edit="readOnly"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65F00"/>
    <w:rsid w:val="000275E0"/>
    <w:rsid w:val="000363FD"/>
    <w:rsid w:val="00052F87"/>
    <w:rsid w:val="00081277"/>
    <w:rsid w:val="000A2AC6"/>
    <w:rsid w:val="000C37DF"/>
    <w:rsid w:val="000F06BA"/>
    <w:rsid w:val="000F1234"/>
    <w:rsid w:val="000F6746"/>
    <w:rsid w:val="0013018C"/>
    <w:rsid w:val="0015560A"/>
    <w:rsid w:val="001D1DA6"/>
    <w:rsid w:val="00215FF8"/>
    <w:rsid w:val="002446B4"/>
    <w:rsid w:val="00251EAF"/>
    <w:rsid w:val="00254085"/>
    <w:rsid w:val="002827CB"/>
    <w:rsid w:val="002A09BE"/>
    <w:rsid w:val="002D7DD8"/>
    <w:rsid w:val="002E1B9E"/>
    <w:rsid w:val="00374CBE"/>
    <w:rsid w:val="003F7A3C"/>
    <w:rsid w:val="004204F1"/>
    <w:rsid w:val="00434997"/>
    <w:rsid w:val="0046626C"/>
    <w:rsid w:val="0047513F"/>
    <w:rsid w:val="00525D17"/>
    <w:rsid w:val="00531136"/>
    <w:rsid w:val="00540B7F"/>
    <w:rsid w:val="0058297B"/>
    <w:rsid w:val="005979A1"/>
    <w:rsid w:val="005B55F9"/>
    <w:rsid w:val="005C3211"/>
    <w:rsid w:val="005F1929"/>
    <w:rsid w:val="006416C9"/>
    <w:rsid w:val="00647B26"/>
    <w:rsid w:val="0066332E"/>
    <w:rsid w:val="00676160"/>
    <w:rsid w:val="00681773"/>
    <w:rsid w:val="0068367E"/>
    <w:rsid w:val="00691A08"/>
    <w:rsid w:val="006A5498"/>
    <w:rsid w:val="006A6309"/>
    <w:rsid w:val="006B5087"/>
    <w:rsid w:val="006F3D62"/>
    <w:rsid w:val="006F6520"/>
    <w:rsid w:val="00705DED"/>
    <w:rsid w:val="00714DC0"/>
    <w:rsid w:val="007263F7"/>
    <w:rsid w:val="00763733"/>
    <w:rsid w:val="00786DA0"/>
    <w:rsid w:val="00803CF9"/>
    <w:rsid w:val="00807DA8"/>
    <w:rsid w:val="00810536"/>
    <w:rsid w:val="00816291"/>
    <w:rsid w:val="00822697"/>
    <w:rsid w:val="0083240B"/>
    <w:rsid w:val="008433B2"/>
    <w:rsid w:val="00844EBF"/>
    <w:rsid w:val="00886531"/>
    <w:rsid w:val="008905C7"/>
    <w:rsid w:val="008E30DE"/>
    <w:rsid w:val="008E3805"/>
    <w:rsid w:val="0090464D"/>
    <w:rsid w:val="00921533"/>
    <w:rsid w:val="00932045"/>
    <w:rsid w:val="00935E81"/>
    <w:rsid w:val="00944B95"/>
    <w:rsid w:val="00972C8C"/>
    <w:rsid w:val="009906C9"/>
    <w:rsid w:val="009C6B39"/>
    <w:rsid w:val="009D4BC2"/>
    <w:rsid w:val="009D5E02"/>
    <w:rsid w:val="009E09DB"/>
    <w:rsid w:val="00A073B6"/>
    <w:rsid w:val="00A348E9"/>
    <w:rsid w:val="00A45C13"/>
    <w:rsid w:val="00AA5B14"/>
    <w:rsid w:val="00B170CF"/>
    <w:rsid w:val="00B5721F"/>
    <w:rsid w:val="00B8508E"/>
    <w:rsid w:val="00BB20DF"/>
    <w:rsid w:val="00BE04F9"/>
    <w:rsid w:val="00C058C5"/>
    <w:rsid w:val="00C5271E"/>
    <w:rsid w:val="00C7039B"/>
    <w:rsid w:val="00CB56EC"/>
    <w:rsid w:val="00CB5A41"/>
    <w:rsid w:val="00CE6309"/>
    <w:rsid w:val="00D072D8"/>
    <w:rsid w:val="00D476B4"/>
    <w:rsid w:val="00D878D2"/>
    <w:rsid w:val="00D94BFF"/>
    <w:rsid w:val="00D963BB"/>
    <w:rsid w:val="00E21400"/>
    <w:rsid w:val="00E54BDE"/>
    <w:rsid w:val="00E62BA3"/>
    <w:rsid w:val="00E718E0"/>
    <w:rsid w:val="00EE3662"/>
    <w:rsid w:val="00EF2FB4"/>
    <w:rsid w:val="00F211F4"/>
    <w:rsid w:val="00F41D2D"/>
    <w:rsid w:val="00F623EA"/>
    <w:rsid w:val="00F65F00"/>
    <w:rsid w:val="00FF0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2">
    <w:name w:val="heading 2"/>
    <w:basedOn w:val="a"/>
    <w:link w:val="2Char"/>
    <w:uiPriority w:val="9"/>
    <w:qFormat/>
    <w:rsid w:val="000A2AC6"/>
    <w:pPr>
      <w:widowControl/>
      <w:spacing w:before="100" w:beforeAutospacing="1" w:after="100" w:afterAutospacing="1"/>
      <w:jc w:val="left"/>
      <w:outlineLvl w:val="1"/>
    </w:pPr>
    <w:rPr>
      <w:rFonts w:ascii="宋体" w:eastAsia="宋体" w:hAnsi="宋体" w:cs="宋体"/>
      <w:b/>
      <w:bCs/>
      <w:kern w:val="0"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标题 2 Char"/>
    <w:basedOn w:val="a0"/>
    <w:link w:val="2"/>
    <w:uiPriority w:val="9"/>
    <w:rsid w:val="000A2AC6"/>
    <w:rPr>
      <w:rFonts w:ascii="宋体" w:eastAsia="宋体" w:hAnsi="宋体" w:cs="宋体"/>
      <w:b/>
      <w:bCs/>
      <w:kern w:val="0"/>
      <w:sz w:val="36"/>
      <w:szCs w:val="36"/>
    </w:rPr>
  </w:style>
  <w:style w:type="character" w:styleId="a3">
    <w:name w:val="Strong"/>
    <w:basedOn w:val="a0"/>
    <w:uiPriority w:val="22"/>
    <w:qFormat/>
    <w:rsid w:val="000A2AC6"/>
    <w:rPr>
      <w:b/>
      <w:bCs/>
    </w:rPr>
  </w:style>
  <w:style w:type="paragraph" w:styleId="a4">
    <w:name w:val="Balloon Text"/>
    <w:basedOn w:val="a"/>
    <w:link w:val="Char"/>
    <w:uiPriority w:val="99"/>
    <w:semiHidden/>
    <w:unhideWhenUsed/>
    <w:rsid w:val="00E62BA3"/>
    <w:rPr>
      <w:sz w:val="18"/>
      <w:szCs w:val="18"/>
    </w:rPr>
  </w:style>
  <w:style w:type="character" w:customStyle="1" w:styleId="Char">
    <w:name w:val="批注框文本 Char"/>
    <w:basedOn w:val="a0"/>
    <w:link w:val="a4"/>
    <w:uiPriority w:val="99"/>
    <w:semiHidden/>
    <w:rsid w:val="00E62BA3"/>
    <w:rPr>
      <w:sz w:val="18"/>
      <w:szCs w:val="18"/>
    </w:rPr>
  </w:style>
  <w:style w:type="paragraph" w:styleId="a5">
    <w:name w:val="header"/>
    <w:basedOn w:val="a"/>
    <w:link w:val="Char0"/>
    <w:uiPriority w:val="99"/>
    <w:unhideWhenUsed/>
    <w:rsid w:val="006761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5"/>
    <w:uiPriority w:val="99"/>
    <w:rsid w:val="00676160"/>
    <w:rPr>
      <w:sz w:val="18"/>
      <w:szCs w:val="18"/>
    </w:rPr>
  </w:style>
  <w:style w:type="paragraph" w:styleId="a6">
    <w:name w:val="footer"/>
    <w:basedOn w:val="a"/>
    <w:link w:val="Char1"/>
    <w:uiPriority w:val="99"/>
    <w:unhideWhenUsed/>
    <w:rsid w:val="006761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1">
    <w:name w:val="页脚 Char"/>
    <w:basedOn w:val="a0"/>
    <w:link w:val="a6"/>
    <w:uiPriority w:val="99"/>
    <w:rsid w:val="00676160"/>
    <w:rPr>
      <w:sz w:val="18"/>
      <w:szCs w:val="18"/>
    </w:rPr>
  </w:style>
  <w:style w:type="paragraph" w:styleId="a7">
    <w:name w:val="caption"/>
    <w:basedOn w:val="a"/>
    <w:next w:val="a"/>
    <w:uiPriority w:val="35"/>
    <w:unhideWhenUsed/>
    <w:qFormat/>
    <w:rsid w:val="00763733"/>
    <w:rPr>
      <w:rFonts w:asciiTheme="majorHAnsi" w:eastAsia="黑体" w:hAnsiTheme="majorHAnsi" w:cstheme="majorBidi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08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8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6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7996819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9367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4573342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5493731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834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1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0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9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695687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7683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21451952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7728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1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77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0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9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55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9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09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589376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2269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602297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7239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107827">
          <w:marLeft w:val="0"/>
          <w:marRight w:val="0"/>
          <w:marTop w:val="600"/>
          <w:marBottom w:val="9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3992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single" w:sz="6" w:space="30" w:color="EEEEEE"/>
              </w:divBdr>
              <w:divsChild>
                <w:div w:id="1825926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539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___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zh-CN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b="0">
                <a:latin typeface="彩虹黑体" pitchFamily="65" charset="-122"/>
                <a:ea typeface="彩虹黑体" pitchFamily="65" charset="-122"/>
              </a:defRPr>
            </a:pP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2018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年</a:t>
            </a:r>
            <a:r>
              <a:rPr lang="en-US" altLang="zh-CN" b="0">
                <a:latin typeface="彩虹黑体" pitchFamily="65" charset="-122"/>
                <a:ea typeface="彩虹黑体" pitchFamily="65" charset="-122"/>
              </a:rPr>
              <a:t>9</a:t>
            </a:r>
            <a:r>
              <a:rPr lang="zh-CN" altLang="en-US" b="0">
                <a:latin typeface="彩虹黑体" pitchFamily="65" charset="-122"/>
                <a:ea typeface="彩虹黑体" pitchFamily="65" charset="-122"/>
              </a:rPr>
              <a:t>月资产情况</a:t>
            </a:r>
          </a:p>
        </c:rich>
      </c:tx>
      <c:overlay val="0"/>
    </c:title>
    <c:autoTitleDeleted val="0"/>
    <c:plotArea>
      <c:layout/>
      <c:pieChart>
        <c:varyColors val="1"/>
        <c:ser>
          <c:idx val="0"/>
          <c:order val="0"/>
          <c:tx>
            <c:strRef>
              <c:f>Sheet1!$B$1</c:f>
              <c:strCache>
                <c:ptCount val="1"/>
                <c:pt idx="0">
                  <c:v>2018年9月资产情况</c:v>
                </c:pt>
              </c:strCache>
            </c:strRef>
          </c:tx>
          <c:explosion val="25"/>
          <c:dLbls>
            <c:numFmt formatCode="0.00%" sourceLinked="0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Sheet1!$A$2:$A$4</c:f>
              <c:strCache>
                <c:ptCount val="3"/>
                <c:pt idx="0">
                  <c:v>现金资产</c:v>
                </c:pt>
                <c:pt idx="1">
                  <c:v>债券资产</c:v>
                </c:pt>
                <c:pt idx="2">
                  <c:v>高收益资产</c:v>
                </c:pt>
              </c:strCache>
            </c:strRef>
          </c:cat>
          <c:val>
            <c:numRef>
              <c:f>Sheet1!$B$2:$B$4</c:f>
              <c:numCache>
                <c:formatCode>0.00%</c:formatCode>
                <c:ptCount val="3"/>
                <c:pt idx="0">
                  <c:v>0.36793684283749517</c:v>
                </c:pt>
                <c:pt idx="1">
                  <c:v>0.25790601685830117</c:v>
                </c:pt>
                <c:pt idx="2">
                  <c:v>0.37415714030420355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</c:plotArea>
    <c:legend>
      <c:legendPos val="r"/>
      <c:overlay val="0"/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99E7CB8-EC02-4C09-B08E-D228536A6C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80</Words>
  <Characters>461</Characters>
  <Application>Microsoft Office Word</Application>
  <DocSecurity>0</DocSecurity>
  <Lines>3</Lines>
  <Paragraphs>1</Paragraphs>
  <ScaleCrop>false</ScaleCrop>
  <Company>Microsoft</Company>
  <LinksUpToDate>false</LinksUpToDate>
  <CharactersWithSpaces>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鲁曦</dc:creator>
  <cp:lastModifiedBy>刘鑫</cp:lastModifiedBy>
  <cp:revision>2</cp:revision>
  <cp:lastPrinted>2018-09-06T06:34:00Z</cp:lastPrinted>
  <dcterms:created xsi:type="dcterms:W3CDTF">2018-10-15T06:24:00Z</dcterms:created>
  <dcterms:modified xsi:type="dcterms:W3CDTF">2018-10-15T06:24:00Z</dcterms:modified>
</cp:coreProperties>
</file>