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C0B1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CC0B1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31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CC0B12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30.315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30.36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30.26</w:t>
            </w:r>
          </w:p>
        </w:tc>
      </w:tr>
      <w:tr w:rsidR="00CC0B12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6.8894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6.8951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6.8882</w:t>
            </w:r>
          </w:p>
        </w:tc>
      </w:tr>
      <w:tr w:rsidR="00CC0B12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6.8841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6.8668</w:t>
            </w:r>
          </w:p>
        </w:tc>
      </w:tr>
      <w:tr w:rsidR="00CC0B12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111.92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111.94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110.94</w:t>
            </w:r>
          </w:p>
        </w:tc>
      </w:tr>
      <w:tr w:rsidR="00CC0B12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1.0674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1.077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1.0672</w:t>
            </w:r>
          </w:p>
        </w:tc>
      </w:tr>
      <w:tr w:rsidR="00CC0B12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0.7641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-0.00011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4.5207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-0.0526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4.7757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-0.005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0.8059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0.0036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2.507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-0.014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4.3843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-0.0112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4.3995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-0.014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3.172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0.004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3.296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0.016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0.92556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0.00056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1.14678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-0.00544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2.4197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0.0396</w:t>
            </w:r>
          </w:p>
        </w:tc>
      </w:tr>
      <w:tr w:rsidR="00CC0B1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3.0343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0.043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C0B1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52.96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-0.13</w:t>
            </w:r>
          </w:p>
        </w:tc>
      </w:tr>
      <w:tr w:rsidR="00CC0B1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50.35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-0.13</w:t>
            </w:r>
          </w:p>
        </w:tc>
      </w:tr>
      <w:tr w:rsidR="00CC0B1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1242.64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-0.98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C0B12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20728.49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69.17</w:t>
            </w:r>
          </w:p>
        </w:tc>
      </w:tr>
      <w:tr w:rsidR="00CC0B1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5914.344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16.797</w:t>
            </w:r>
          </w:p>
        </w:tc>
      </w:tr>
      <w:tr w:rsidR="00CC0B1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2368.06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6.93</w:t>
            </w:r>
          </w:p>
        </w:tc>
      </w:tr>
      <w:tr w:rsidR="00CC0B1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12256.43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53.43</w:t>
            </w:r>
          </w:p>
        </w:tc>
      </w:tr>
      <w:tr w:rsidR="00CC0B1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3394.349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CC0B1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24392.05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46.18</w:t>
            </w:r>
          </w:p>
        </w:tc>
      </w:tr>
      <w:tr w:rsidR="00CC0B1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9848.15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-8.1</w:t>
            </w:r>
          </w:p>
        </w:tc>
      </w:tr>
      <w:tr w:rsidR="00CC0B12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19063.22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-154.26</w:t>
            </w:r>
          </w:p>
        </w:tc>
      </w:tr>
      <w:tr w:rsidR="00CC0B1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C0B12" w:rsidRPr="00915E2A" w:rsidRDefault="00CC0B1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2164.64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C0B12" w:rsidRDefault="00CC0B12" w:rsidP="00CC0B1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-2.34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D12B9" w:rsidRPr="003D12B9" w:rsidRDefault="00B261CE" w:rsidP="00B261CE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B261CE">
        <w:rPr>
          <w:rFonts w:asciiTheme="minorHAnsi" w:eastAsia="標楷體" w:hAnsiTheme="minorHAnsi" w:hint="eastAsia"/>
          <w:noProof/>
          <w:sz w:val="16"/>
          <w:szCs w:val="16"/>
        </w:rPr>
        <w:t>美國商務部週四公佈，第四季國內生產總值</w:t>
      </w:r>
      <w:r w:rsidRPr="00B261CE">
        <w:rPr>
          <w:rFonts w:asciiTheme="minorHAnsi" w:eastAsia="標楷體" w:hAnsiTheme="minorHAnsi" w:hint="eastAsia"/>
          <w:noProof/>
          <w:sz w:val="16"/>
          <w:szCs w:val="16"/>
        </w:rPr>
        <w:t>(GDP)</w:t>
      </w:r>
      <w:r w:rsidRPr="00B261CE">
        <w:rPr>
          <w:rFonts w:asciiTheme="minorHAnsi" w:eastAsia="標楷體" w:hAnsiTheme="minorHAnsi" w:hint="eastAsia"/>
          <w:noProof/>
          <w:sz w:val="16"/>
          <w:szCs w:val="16"/>
        </w:rPr>
        <w:t>環比年率終值為上升</w:t>
      </w:r>
      <w:r w:rsidRPr="00B261CE">
        <w:rPr>
          <w:rFonts w:asciiTheme="minorHAnsi" w:eastAsia="標楷體" w:hAnsiTheme="minorHAnsi" w:hint="eastAsia"/>
          <w:noProof/>
          <w:sz w:val="16"/>
          <w:szCs w:val="16"/>
        </w:rPr>
        <w:t>2.1%</w:t>
      </w:r>
      <w:r w:rsidRPr="00B261CE">
        <w:rPr>
          <w:rFonts w:asciiTheme="minorHAnsi" w:eastAsia="標楷體" w:hAnsiTheme="minorHAnsi" w:hint="eastAsia"/>
          <w:noProof/>
          <w:sz w:val="16"/>
          <w:szCs w:val="16"/>
        </w:rPr>
        <w:t>，前值為上升</w:t>
      </w:r>
      <w:r w:rsidRPr="00B261CE">
        <w:rPr>
          <w:rFonts w:asciiTheme="minorHAnsi" w:eastAsia="標楷體" w:hAnsiTheme="minorHAnsi" w:hint="eastAsia"/>
          <w:noProof/>
          <w:sz w:val="16"/>
          <w:szCs w:val="16"/>
        </w:rPr>
        <w:t>1.9%</w:t>
      </w:r>
      <w:r w:rsidRPr="00B261CE">
        <w:rPr>
          <w:rFonts w:asciiTheme="minorHAnsi" w:eastAsia="標楷體" w:hAnsiTheme="minorHAnsi" w:hint="eastAsia"/>
          <w:noProof/>
          <w:sz w:val="16"/>
          <w:szCs w:val="16"/>
        </w:rPr>
        <w:t>。第四季經濟增長放緩程度小於先前公佈資料，受強勁的消費者支出提振，但這一利好影響被兩年來最大的進口增幅所部分抵銷。</w:t>
      </w:r>
    </w:p>
    <w:p w:rsidR="00F363C3" w:rsidRPr="00F363C3" w:rsidRDefault="00F363C3" w:rsidP="00F363C3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5CD30CA" wp14:editId="2BD572AD">
                <wp:simplePos x="0" y="0"/>
                <wp:positionH relativeFrom="column">
                  <wp:posOffset>-86995</wp:posOffset>
                </wp:positionH>
                <wp:positionV relativeFrom="paragraph">
                  <wp:posOffset>506092</wp:posOffset>
                </wp:positionV>
                <wp:extent cx="3414396" cy="535941"/>
                <wp:effectExtent l="0" t="0" r="71755" b="7366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6" cy="535941"/>
                          <a:chOff x="-62489" y="9591372"/>
                          <a:chExt cx="3416736" cy="55048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9687145"/>
                            <a:ext cx="3378201" cy="454707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91372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85pt;margin-top:39.85pt;width:268.85pt;height:42.2pt;z-index:251686912;mso-width-relative:margin;mso-height-relative:margin" coordorigin="-624,95913" coordsize="34167,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twkQYAAIITAAAOAAAAZHJzL2Uyb0RvYy54bWzsWM2O3EQQviPxDi0fQZNx2+2/UWaj7M7O&#10;KlKASBnEucf22Ba227g9O5MgLggJEe5B4gbKCYkjhxzgbTYRb0F1t9vT3uysogAHJHalXdv9ubrq&#10;q5+u8t17+6pEl2nLC1bPLXzHtlBaxywp6mxufbpaTkIL8Y7WCS1Znc6tJym37p28/97dXTNLHZaz&#10;MklbBEJqPts1cyvvumY2nfI4TyvK77AmrWFxw9qKdnDbZtOkpTuQXpVTx7b96Y61SdOyOOUcni7U&#10;onUi5W82adx9stnwtEPl3ALdOvm3lX/X4u/05C6dZS1t8iLu1aDvoEVFixo2HUQtaEfRti3eEFUV&#10;ccs423R3YlZN2WZTxKm0AazB9jVrLlq2baQt2WyXNQNNQO01nt5ZbPzx5aMWFcnc8ixU0wpc9PqP&#10;F69/+wZ5gptdk80ActE2j5tHbf8gU3fC3P2mrcR/MATtJatPBlbTfYdieOgSTNzIt1AMa57rRQQr&#10;2uMcfCNem/gOCSMLwXrkRdgNHA04P8jwA1fL8GwSStdNtQZToeig166BYOIHvvjf4+txTptUuoEL&#10;Mnq+HM3Xq+++f/3yl6sXP/759bOr339G2FXMSbCgTRDEm4cs/pyjmp0nRfeIFXUHWmGQwc5yWmfp&#10;/bZluzyliXwMTINJhgRxw0EWWu8+Ygl4iW47JiPumgsmjht5RHHphwEm0o90NnjDDUIINeUN4pHA&#10;DoS6A5N0Fm95d5Ey6Vd6+ZB3sAyBncCVuujj5ALyaVOVkC4fTpAtfpXXskQDYJcBEPp2cANmNQj5&#10;YIqwHdo22iEH+/Z1YatBGABtlN8MAqeoHSXoiCTXAIW+Gx4TBiwOwqT6R+RB5gw4qfoxgRC/A/BW&#10;WwMTGDhBcEwiVNdBotr6iI6QXQPwNpvxyB+BH5HAsRG4Axzjex6kYB8NvY9X2PQLxkHkQ27e+oLp&#10;Iy+MQofcjjfd9TZ40223SzYdB4lyNPJGfgPckeDDptscTOzoqETTbzjAtm/KhFwcso3mOgHjfd1n&#10;IFwhKBlzawXeEinZMC7KqMglKKGQKSqhASdWDTgewcERAi7LFez5JtwZwVVRWcl6ciPcHcGBNCFd&#10;V5c3pZMRHBgR8MjUXe3SW93CWS5O8RUGt8E5vsKwA5zkK0E7nOUrHKrYbGgnSJPEwCXazS1VUFCu&#10;r8RaxS7TFZOoTrDnuYoPfbAc1uPtuohP06cm2nGVwn2ZaqQIxb9YkkliPhTSe6+MpJW1KVUJwH6g&#10;qjbYr9dv0qFHB7YrWYM4kFpo1bAoHKYm2sJhQfB7izaO70DugVfMF7RC+r/aU5RHCR1Kt6H7GOp7&#10;woFvJdXBtnDyEexY9d527AIZozcGWuShopauM3ZYMqgfyx8b0QcUaHZwrEaM39N6iRNNbH4tOpxB&#10;4VEkHSzX4TiWGpeMpyqeRLjL83uIe+nWwxkO3W2yLMoStaz7rOhy2c6I3kPEfsb7VMk4gjIimjfx&#10;mLfZ+qxs0SWFjHN9bxnpopJx9ZpCY3EwHH9FQmlVUZkPPKdJqkQS3wn6xqSoLy96CCjebywNElvB&#10;o0HFsujrnkfUtojHtEyhdx2U600V+5ay+NVMmK6YUk9SORX0VrNtl7aP82SHkoJDUcF2EPgQ9EkB&#10;lcUJ+m1omcFwE3ctFJwRhzdYHkIPMzSng3hpyGhn6Md6HURnJkeFLyMMZ+GpE02W0LlNyJJ4kyiw&#10;w4mNo9PIt0lEFsuvhH8wmeVFkqT1w6JO9diCydu1uf0ApQYOObiIEhl5jqdcz8pCxosgcRQHkg0d&#10;j9yEVQXQiMqimlvQwcGPKjuinT2vE+n8jhalup6O1VfU7KFeg681K7L5Ff2uGEH4bM2SJ9D7Avly&#10;xoB5Ey5y1j610A5mt7nFv9jSNrVQ+aCGGI4wIZBtnbwhHnQw4DhzZW2u0DoGUXOrs+BUFZdnHdzB&#10;K9umLbIcdlKpUrP70HNvCtEPS/2UVv0NzBtK13998IBzWA1qr55/e/XrD6+ev7z66Zke14aRAXX7&#10;UwbHmtL9MH78w9PGkclNTxvYDwm0jf204ft2pLsNPbY0rapUSFzMLXHKyzDUkwcEhYaIgBzy+ZYE&#10;vymz7Og8PA/JhDj++YTYi8Xk/vKMTPwlDryFuzg7W+BxZsmKqb5LQLy+a2bJHDIzZZRQS/nT9wVG&#10;QhkZItTQmSGE/V8sJAeaEllCrxWLbr/eyy8awxz+XykfYIj80COt6z9KiS9J5j1cm5/OTv4CAAD/&#10;/wMAUEsDBBQABgAIAAAAIQCpkP2Z4AAAAAoBAAAPAAAAZHJzL2Rvd25yZXYueG1sTI9Na8MwDIbv&#10;g/0Ho8FureN+L4tTStl2KoW1g9GbmqhJaGyH2E3Sfz/ttJ2E0MOr503Wg6lFR62vnNWgxhEIspnL&#10;K1to+Dq+j1YgfECbY+0sabiTh3X6+JBgnLveflJ3CIXgEOtj1FCG0MRS+qwkg37sGrJ8u7jWYOC1&#10;LWTeYs/hppaTKFpIg5XlDyU2tC0pux5uRsNHj/1mqt663fWyvZ+O8/33TpHWz0/D5hVEoCH8wfCr&#10;z+qQstPZ3WzuRa1hpKZLRjUsX3gyMJ/MuNyZycVMgUwT+b9C+gMAAP//AwBQSwECLQAUAAYACAAA&#10;ACEAtoM4kv4AAADhAQAAEwAAAAAAAAAAAAAAAAAAAAAAW0NvbnRlbnRfVHlwZXNdLnhtbFBLAQIt&#10;ABQABgAIAAAAIQA4/SH/1gAAAJQBAAALAAAAAAAAAAAAAAAAAC8BAABfcmVscy8ucmVsc1BLAQIt&#10;ABQABgAIAAAAIQD2MZtwkQYAAIITAAAOAAAAAAAAAAAAAAAAAC4CAABkcnMvZTJvRG9jLnhtbFBL&#10;AQItABQABgAIAAAAIQCpkP2Z4AAAAAoBAAAPAAAAAAAAAAAAAAAAAOsIAABkcnMvZG93bnJldi54&#10;bWxQSwUGAAAAAAQABADzAAAA+AkAAAAA&#10;">
                <v:shape id="手繪多邊形 13" o:spid="_x0000_s1030" style="position:absolute;left:-239;top:96871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1;1346119,454707;1689101,363702;3378201,181841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5913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61CE" w:rsidRPr="00F363C3">
        <w:rPr>
          <w:rFonts w:asciiTheme="minorHAnsi" w:eastAsia="標楷體" w:hAnsiTheme="minorHAnsi" w:hint="eastAsia"/>
          <w:noProof/>
          <w:sz w:val="16"/>
          <w:szCs w:val="16"/>
        </w:rPr>
        <w:t>中國外管局稱，</w:t>
      </w:r>
      <w:r w:rsidR="00B261CE" w:rsidRPr="00F363C3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="00B261CE" w:rsidRPr="00F363C3">
        <w:rPr>
          <w:rFonts w:asciiTheme="minorHAnsi" w:eastAsia="標楷體" w:hAnsiTheme="minorHAnsi" w:hint="eastAsia"/>
          <w:noProof/>
          <w:sz w:val="16"/>
          <w:szCs w:val="16"/>
        </w:rPr>
        <w:t>年中國國際收支呈現“經常帳戶順差、資本和金融帳戶</w:t>
      </w:r>
      <w:r w:rsidR="00B261CE" w:rsidRPr="00F363C3">
        <w:rPr>
          <w:rFonts w:asciiTheme="minorHAnsi" w:eastAsia="標楷體" w:hAnsiTheme="minorHAnsi" w:hint="eastAsia"/>
          <w:noProof/>
          <w:sz w:val="16"/>
          <w:szCs w:val="16"/>
        </w:rPr>
        <w:t>(</w:t>
      </w:r>
      <w:r w:rsidR="00B261CE" w:rsidRPr="00F363C3">
        <w:rPr>
          <w:rFonts w:asciiTheme="minorHAnsi" w:eastAsia="標楷體" w:hAnsiTheme="minorHAnsi" w:hint="eastAsia"/>
          <w:noProof/>
          <w:sz w:val="16"/>
          <w:szCs w:val="16"/>
        </w:rPr>
        <w:t>不含儲備資產</w:t>
      </w:r>
      <w:r w:rsidR="00B261CE" w:rsidRPr="00F363C3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B261CE" w:rsidRPr="00F363C3">
        <w:rPr>
          <w:rFonts w:asciiTheme="minorHAnsi" w:eastAsia="標楷體" w:hAnsiTheme="minorHAnsi" w:hint="eastAsia"/>
          <w:noProof/>
          <w:sz w:val="16"/>
          <w:szCs w:val="16"/>
        </w:rPr>
        <w:t>逆差”，這一格局在今年料將延續，跨境資本流動繼續向著均衡狀態收斂。</w:t>
      </w:r>
    </w:p>
    <w:p w:rsidR="00F363C3" w:rsidRPr="00F363C3" w:rsidRDefault="00F363C3" w:rsidP="00F363C3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E42419" w:rsidRPr="00E42419" w:rsidRDefault="00E42419" w:rsidP="00E42419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台幣兌美元週四量縮微收貶，連續第二日收低。因國際美元延續上日偏強態勢，美元指數回升至</w:t>
      </w:r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100</w:t>
      </w:r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上方，帶動台</w:t>
      </w:r>
      <w:bookmarkStart w:id="0" w:name="_GoBack"/>
      <w:bookmarkEnd w:id="0"/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幣隨韓元等亞幣趨弱盤跌，惟交投轉淡且有出口商季底拋匯賣需待消化，有助於緩和台幣跌幅。儘管外資連續</w:t>
      </w:r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日買超台股，但外資早盤偏向買匯、午後則是買賣匯雙向交易皆有，一改此前一面倒匯入的情況，短線台幣漲多料暫回檔整理，而今日為季底最後交易日將續消化出口商拋匯需求，預計台幣跌幅空間有限。接下來，待季底出口商美元賣需消化完，將轉趨關注外資動向，近期外資交投並不熱絡，較難觀察出明確方向，靜候外資進一步表態。預估今日台幣主要交易區間</w:t>
      </w:r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30.250- 30.400</w:t>
      </w:r>
      <w:r w:rsidR="00B261CE" w:rsidRPr="00B261CE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台灣銀行間短率周四略走跌。市場資金續呈寬鬆狀態，大型銀行順應市場資金情勢，適度下調拆款利率，對票券商兩周拆款自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0.43%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下調至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0.41%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。人民幣市場部分，隔拆利率在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1.80%-3.50%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 xml:space="preserve"> 1,850 -1,890</w:t>
      </w:r>
      <w:r w:rsidR="00CC0B12" w:rsidRPr="00CC0B12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週四美國公佈去年第四季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終值小幅上修至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2.1%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，但初請失業金數據則差於市場預期，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上修與國際油價上揚小幅帶動美債利率上揚，終場美債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4.3bps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2.420%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4.9bps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3.034%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，今日美國關注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月份個人消費支出與密大信心終值，短線美債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年券關注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F363C3" w:rsidRPr="00F363C3">
        <w:rPr>
          <w:rFonts w:asciiTheme="minorHAnsi" w:eastAsia="標楷體" w:hAnsiTheme="minorHAnsi" w:hint="eastAsia"/>
          <w:noProof/>
          <w:sz w:val="16"/>
          <w:szCs w:val="16"/>
        </w:rPr>
        <w:t>是否有效突破，暫維持區間操作。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F363C3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週四離岸人民幣匯率呈現震盪整理走勢，中國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PMI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數據公佈前市場維持觀望態度，惟短線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官員談話令美元反彈，離岸人民幣匯率走勢偏向貶值。離岸人民幣換匯點，一個月降至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180(-20)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，一年期降至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1870(-30)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。人民幣匯率期貨市場週四成交量持續降至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127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0.035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3,308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1.185</w:t>
      </w:r>
      <w:r w:rsidR="00342812" w:rsidRPr="00342812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B261CE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03/30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年化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4Q T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1.90%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4Q T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3.50%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個人消費支出核心指數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4Q T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25-Mar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247k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258k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261k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18-Mar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2031k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2052k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1990k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PMI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51.8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51.6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03/30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非製造業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PMI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54.2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03/31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個人所得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03/31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個人支出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03/31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03/31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03/31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芝加哥採購經理人指數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56.9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57.4</w:t>
            </w:r>
          </w:p>
        </w:tc>
      </w:tr>
      <w:tr w:rsidR="00B261CE" w:rsidRPr="00B261CE" w:rsidTr="00B261C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03/31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Mar F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97.6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CE" w:rsidRPr="00B261CE" w:rsidRDefault="00B261CE" w:rsidP="00B261C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61CE">
              <w:rPr>
                <w:rFonts w:ascii="Tahoma" w:hAnsi="Tahoma" w:cs="Tahoma" w:hint="eastAsia"/>
                <w:color w:val="000000"/>
                <w:sz w:val="20"/>
                <w:szCs w:val="20"/>
              </w:rPr>
              <w:t>97.6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DE16-CA98-4166-B99C-ABEFF785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6</cp:revision>
  <cp:lastPrinted>2015-08-07T06:27:00Z</cp:lastPrinted>
  <dcterms:created xsi:type="dcterms:W3CDTF">2017-03-31T01:39:00Z</dcterms:created>
  <dcterms:modified xsi:type="dcterms:W3CDTF">2017-03-31T02:21:00Z</dcterms:modified>
</cp:coreProperties>
</file>