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80"/>
        <w:tblW w:w="10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6F6BA8" w:rsidRPr="00B8150F" w:rsidTr="00DC548B">
        <w:trPr>
          <w:tblCellSpacing w:w="0" w:type="dxa"/>
        </w:trPr>
        <w:tc>
          <w:tcPr>
            <w:tcW w:w="0" w:type="auto"/>
            <w:vAlign w:val="center"/>
          </w:tcPr>
          <w:p w:rsidR="006F6BA8" w:rsidRPr="00B8150F" w:rsidRDefault="006F6BA8" w:rsidP="00DC548B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尊敬的客户：</w:t>
            </w:r>
          </w:p>
          <w:p w:rsidR="006F6BA8" w:rsidRPr="00B8150F" w:rsidRDefault="006F6BA8" w:rsidP="00DC548B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根据与投资者的约定，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西藏分行</w:t>
            </w: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发行的下列理财产品已经到期并完成资金兑付，现将有关情况公告如下:</w:t>
            </w:r>
          </w:p>
          <w:tbl>
            <w:tblPr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842"/>
              <w:gridCol w:w="1701"/>
              <w:gridCol w:w="1701"/>
              <w:gridCol w:w="2552"/>
              <w:gridCol w:w="1701"/>
            </w:tblGrid>
            <w:tr w:rsidR="006F6BA8" w:rsidRPr="00B8150F" w:rsidTr="00DC548B">
              <w:trPr>
                <w:trHeight w:val="600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BA8" w:rsidRPr="00B8150F" w:rsidRDefault="006F6BA8" w:rsidP="0031385C">
                  <w:pPr>
                    <w:framePr w:hSpace="180" w:wrap="around" w:hAnchor="margin" w:xAlign="center" w:y="1080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8150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BA8" w:rsidRPr="00B8150F" w:rsidRDefault="006F6BA8" w:rsidP="0031385C">
                  <w:pPr>
                    <w:framePr w:hSpace="180" w:wrap="around" w:hAnchor="margin" w:xAlign="center" w:y="1080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8150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产品成立日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BA8" w:rsidRPr="00B8150F" w:rsidRDefault="006F6BA8" w:rsidP="0031385C">
                  <w:pPr>
                    <w:framePr w:hSpace="180" w:wrap="around" w:hAnchor="margin" w:xAlign="center" w:y="1080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8150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产品到期日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BA8" w:rsidRPr="00B8150F" w:rsidRDefault="006F6BA8" w:rsidP="0031385C">
                  <w:pPr>
                    <w:framePr w:hSpace="180" w:wrap="around" w:hAnchor="margin" w:xAlign="center" w:y="1080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客户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实际年化收益率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BA8" w:rsidRDefault="006F6BA8" w:rsidP="0031385C">
                  <w:pPr>
                    <w:framePr w:hSpace="180" w:wrap="around" w:hAnchor="margin" w:xAlign="center" w:y="1080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17D0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托管费率</w:t>
                  </w:r>
                </w:p>
              </w:tc>
            </w:tr>
            <w:tr w:rsidR="006F6BA8" w:rsidRPr="00B8150F" w:rsidTr="00DC548B">
              <w:trPr>
                <w:trHeight w:val="835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BA8" w:rsidRPr="0042149F" w:rsidRDefault="006F6BA8" w:rsidP="0031385C">
                  <w:pPr>
                    <w:framePr w:hSpace="180" w:wrap="around" w:hAnchor="margin" w:xAlign="center" w:y="1080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中国建设银行西藏分行“乾元”201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年第</w:t>
                  </w:r>
                  <w:r w:rsidR="00357C60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期理财产品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6BA8" w:rsidRPr="0042149F" w:rsidRDefault="006F6BA8" w:rsidP="0031385C">
                  <w:pPr>
                    <w:framePr w:hSpace="180" w:wrap="around" w:hAnchor="margin" w:xAlign="center" w:y="1080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11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16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6BA8" w:rsidRPr="0042149F" w:rsidRDefault="006F6BA8" w:rsidP="0031385C">
                  <w:pPr>
                    <w:framePr w:hSpace="180" w:wrap="around" w:hAnchor="margin" w:xAlign="center" w:y="1080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444F39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31385C">
                    <w:rPr>
                      <w:rFonts w:ascii="宋体" w:hAnsi="宋体" w:hint="eastAsia"/>
                      <w:sz w:val="18"/>
                      <w:szCs w:val="18"/>
                    </w:rPr>
                    <w:t>14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6BA8" w:rsidRDefault="0031385C" w:rsidP="0031385C">
                  <w:pPr>
                    <w:framePr w:hSpace="180" w:wrap="around" w:hAnchor="margin" w:xAlign="center" w:y="1080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  <w:r w:rsidR="00357C60">
                    <w:rPr>
                      <w:rFonts w:ascii="宋体" w:hAnsi="宋体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8</w:t>
                  </w:r>
                  <w:r w:rsidR="00357C60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6F6BA8">
                    <w:rPr>
                      <w:rFonts w:ascii="宋体" w:hAnsi="宋体" w:hint="eastAsia"/>
                      <w:sz w:val="18"/>
                      <w:szCs w:val="18"/>
                    </w:rPr>
                    <w:t>%/年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BA8" w:rsidRPr="0042149F" w:rsidRDefault="006F6BA8" w:rsidP="0031385C">
                  <w:pPr>
                    <w:framePr w:hSpace="180" w:wrap="around" w:hAnchor="margin" w:xAlign="center" w:y="1080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0.05%</w:t>
                  </w:r>
                </w:p>
              </w:tc>
            </w:tr>
          </w:tbl>
          <w:p w:rsidR="006F6BA8" w:rsidRPr="00912142" w:rsidRDefault="006F6BA8" w:rsidP="00DC548B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1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注：对于超出客户</w:t>
            </w:r>
            <w:proofErr w:type="gramStart"/>
            <w:r w:rsidRPr="009121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实际年化收益率</w:t>
            </w:r>
            <w:proofErr w:type="gramEnd"/>
            <w:r w:rsidRPr="009121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及托管费率以上的部分将作为销售管理费。</w:t>
            </w:r>
          </w:p>
          <w:p w:rsidR="006F6BA8" w:rsidRPr="00B8150F" w:rsidRDefault="006F6BA8" w:rsidP="00DC548B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特此公告。</w:t>
            </w:r>
          </w:p>
          <w:p w:rsidR="006F6BA8" w:rsidRPr="00B8150F" w:rsidRDefault="006F6BA8" w:rsidP="00DC548B">
            <w:pPr>
              <w:widowControl/>
              <w:wordWrap w:val="0"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分行</w:t>
            </w:r>
          </w:p>
          <w:p w:rsidR="006F6BA8" w:rsidRPr="00C33B5E" w:rsidRDefault="006F6BA8" w:rsidP="00357C60">
            <w:pPr>
              <w:widowControl/>
              <w:wordWrap w:val="0"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20</w:t>
            </w:r>
            <w:r w:rsidR="0030065C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</w:t>
            </w:r>
            <w:r w:rsidR="0031385C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7</w:t>
            </w: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年</w:t>
            </w:r>
            <w:r w:rsidR="00444F3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</w:t>
            </w:r>
            <w:r w:rsidR="0031385C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2</w:t>
            </w: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月</w:t>
            </w:r>
            <w:r w:rsidR="0031385C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15</w:t>
            </w:r>
            <w:r w:rsidRPr="00B8150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</w:tc>
      </w:tr>
    </w:tbl>
    <w:p w:rsidR="00AD03EA" w:rsidRDefault="00680E27">
      <w:r>
        <w:rPr>
          <w:rFonts w:ascii="宋体" w:hAnsi="宋体" w:hint="eastAsia"/>
          <w:sz w:val="18"/>
          <w:szCs w:val="18"/>
        </w:rPr>
        <w:t>题目：</w:t>
      </w:r>
      <w:r w:rsidR="006F6BA8" w:rsidRPr="00D205BC">
        <w:rPr>
          <w:rFonts w:ascii="宋体" w:hAnsi="宋体" w:hint="eastAsia"/>
          <w:sz w:val="18"/>
          <w:szCs w:val="18"/>
        </w:rPr>
        <w:t>中国建设银行西藏分行“乾元”201</w:t>
      </w:r>
      <w:r w:rsidR="0031385C">
        <w:rPr>
          <w:rFonts w:ascii="宋体" w:hAnsi="宋体" w:hint="eastAsia"/>
          <w:sz w:val="18"/>
          <w:szCs w:val="18"/>
        </w:rPr>
        <w:t>7</w:t>
      </w:r>
      <w:r w:rsidR="006F6BA8" w:rsidRPr="00D205BC">
        <w:rPr>
          <w:rFonts w:ascii="宋体" w:hAnsi="宋体" w:hint="eastAsia"/>
          <w:sz w:val="18"/>
          <w:szCs w:val="18"/>
        </w:rPr>
        <w:t>年第</w:t>
      </w:r>
      <w:r w:rsidR="0031385C">
        <w:rPr>
          <w:rFonts w:ascii="宋体" w:hAnsi="宋体" w:hint="eastAsia"/>
          <w:sz w:val="18"/>
          <w:szCs w:val="18"/>
        </w:rPr>
        <w:t>02</w:t>
      </w:r>
      <w:r w:rsidR="006F6BA8" w:rsidRPr="00D205BC">
        <w:rPr>
          <w:rFonts w:ascii="宋体" w:hAnsi="宋体" w:hint="eastAsia"/>
          <w:sz w:val="18"/>
          <w:szCs w:val="18"/>
        </w:rPr>
        <w:t>期理财产品</w:t>
      </w:r>
      <w:r w:rsidR="006F6BA8">
        <w:rPr>
          <w:rFonts w:ascii="宋体" w:hAnsi="宋体" w:cs="宋体" w:hint="eastAsia"/>
          <w:color w:val="000000"/>
          <w:kern w:val="0"/>
          <w:sz w:val="18"/>
          <w:szCs w:val="18"/>
        </w:rPr>
        <w:t>兑付公告</w:t>
      </w:r>
    </w:p>
    <w:sectPr w:rsidR="00AD0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F3" w:rsidRDefault="008347F3" w:rsidP="001F6BBF">
      <w:r>
        <w:separator/>
      </w:r>
    </w:p>
  </w:endnote>
  <w:endnote w:type="continuationSeparator" w:id="0">
    <w:p w:rsidR="008347F3" w:rsidRDefault="008347F3" w:rsidP="001F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F3" w:rsidRDefault="008347F3" w:rsidP="001F6BBF">
      <w:r>
        <w:separator/>
      </w:r>
    </w:p>
  </w:footnote>
  <w:footnote w:type="continuationSeparator" w:id="0">
    <w:p w:rsidR="008347F3" w:rsidRDefault="008347F3" w:rsidP="001F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8"/>
    <w:rsid w:val="001F6BBF"/>
    <w:rsid w:val="0030065C"/>
    <w:rsid w:val="0031385C"/>
    <w:rsid w:val="00357C60"/>
    <w:rsid w:val="00444F39"/>
    <w:rsid w:val="004570C1"/>
    <w:rsid w:val="00573460"/>
    <w:rsid w:val="005B4862"/>
    <w:rsid w:val="00680E27"/>
    <w:rsid w:val="006F6BA8"/>
    <w:rsid w:val="008347F3"/>
    <w:rsid w:val="00A94A9D"/>
    <w:rsid w:val="00A976B7"/>
    <w:rsid w:val="00CC4BB9"/>
    <w:rsid w:val="00E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B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B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B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B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公司部综合代表</dc:creator>
  <cp:lastModifiedBy>公司部综合代表</cp:lastModifiedBy>
  <cp:revision>8</cp:revision>
  <dcterms:created xsi:type="dcterms:W3CDTF">2014-12-05T02:42:00Z</dcterms:created>
  <dcterms:modified xsi:type="dcterms:W3CDTF">2017-12-15T08:54:00Z</dcterms:modified>
</cp:coreProperties>
</file>