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彩虹黑体" w:eastAsia="彩虹黑体"/>
          <w:sz w:val="44"/>
          <w:szCs w:val="44"/>
        </w:rPr>
      </w:pPr>
    </w:p>
    <w:p>
      <w:pPr>
        <w:widowControl/>
        <w:spacing w:line="400" w:lineRule="exact"/>
        <w:jc w:val="center"/>
        <w:rPr>
          <w:rFonts w:ascii="彩虹小标宋" w:hAnsi="彩虹小标宋" w:eastAsia="彩虹小标宋" w:cs="彩虹小标宋"/>
          <w:color w:val="000000"/>
          <w:kern w:val="0"/>
          <w:sz w:val="44"/>
          <w:szCs w:val="44"/>
        </w:rPr>
      </w:pP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</w:rPr>
        <w:t>中国建设银行对公黄金积存业务风险揭示书（2026年</w:t>
      </w: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  <w:highlight w:val="none"/>
          <w:lang w:val="en-US" w:eastAsia="zh-CN"/>
        </w:rPr>
        <w:t>7</w:t>
      </w: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</w:rPr>
        <w:t>月版）</w:t>
      </w:r>
    </w:p>
    <w:p>
      <w:pPr>
        <w:spacing w:line="560" w:lineRule="exact"/>
        <w:jc w:val="center"/>
        <w:rPr>
          <w:rFonts w:ascii="彩虹小标宋" w:hAnsi="Arial" w:eastAsia="彩虹小标宋" w:cs="Arial"/>
          <w:kern w:val="0"/>
          <w:sz w:val="36"/>
          <w:szCs w:val="36"/>
        </w:rPr>
      </w:pPr>
      <w:bookmarkStart w:id="0" w:name="_GoBack"/>
      <w:bookmarkEnd w:id="0"/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尊敬的客户： </w:t>
      </w:r>
    </w:p>
    <w:p>
      <w:pPr>
        <w:spacing w:line="587" w:lineRule="exact"/>
        <w:ind w:firstLine="640" w:firstLineChars="200"/>
        <w:jc w:val="left"/>
        <w:rPr>
          <w:rFonts w:ascii="彩虹粗仿宋" w:hAnsi="Arial" w:eastAsia="彩虹粗仿宋" w:cs="Arial"/>
          <w:b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为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帮助贵单位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全面了解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业务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存在的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风险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，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本着诚实守信和对客户负责的原则，中国建设银行股份有限公司（以下简称：建设银行）郑重提醒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贵单位“投资有风险，交易需谨慎”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参与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业务存在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包括但不限于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以下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政策风险、价格风险、操作风险、流动性风险、系统风险、不可抗力风险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可能引起贵单位本金及收益损失，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请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谨慎投资：</w:t>
      </w:r>
    </w:p>
    <w:p>
      <w:pPr>
        <w:spacing w:line="587" w:lineRule="exact"/>
        <w:ind w:firstLine="643" w:firstLineChars="200"/>
        <w:jc w:val="left"/>
        <w:rPr>
          <w:rFonts w:ascii="彩虹粗仿宋" w:hAnsi="黑体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政策风险：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本业务是根据现有国家宏观政策、法律法规和监管层的相关规定而开展的，如果相关的国家宏观政策、法律法规或者监管层规定变动而导致本业务整改、暂停、甚至终止将影响到贵单位正常交易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价格风险：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报价基于国际及国内黄金价格走势、交易头寸情况、市场流动性以及人民币汇率等综合因素，因此国际及国内黄金价格、交易头寸、市场流动性、人民币汇率等因素的波动均将造成对公黄金积存价格波动，可能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操作风险：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本业务需要贵单位通过建设银行的交易系统进行交易，贵单位应妥善保管自己参与对公黄金积存业务的交易工具、密码等交易介质及信息，在交易过程中可能因贵单位的操作失误、操作不当等原因引起损失。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流动性风险：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交易受贵金属市场流动性以及本业务交易时间设定的影响，在特殊市场情况下，如上海黄金交易所对应合约涨跌停、黄金市场流动性极度紧张、单笔交易量大于建行银行对应限制条款、对公黄金积存业务发生巨额赎回等，将有可能遇到价差扩大甚至不能交易的情况，从而对贵单位造成不利影响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系统风险：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受通讯故障、非银行原因的系统故障、电力中断等意外事件影响，可能导致贵单位无法进行正常交易，从而可能引起贵单位损失。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不可抗力风险：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因自然灾害、战争或者其他国际上各种政治、经济突发事件等不可抗力因素的出现，将严重影响本业务正常运行，可能将导致贵单位无法进行正常交易，从而可能引起贵单位损失。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7" w:lineRule="exact"/>
        <w:ind w:firstLine="643" w:firstLineChars="200"/>
        <w:jc w:val="left"/>
        <w:textAlignment w:val="auto"/>
        <w:rPr>
          <w:rFonts w:hint="eastAsia" w:ascii="彩虹粗仿宋" w:hAnsi="Arial" w:eastAsia="彩虹粗仿宋" w:cs="Arial"/>
          <w:b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在签署《中国建设银行对公黄金积存业务协议书》或《中国建设银行对公综合服务协议》前，应当仔细阅读本风险揭示书，同时向中国建设银行了解本业务的其他相关信息，并独立做出是否办理本业务的决定。贵单位签署本风险揭示书、业务协议/对公综合服务协议是贵单位真实的意思表示。本风险揭示书及相应的业务协议书/对公综合服务协议将共同构成双方合同的有效组成部分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7" w:lineRule="exact"/>
        <w:ind w:firstLine="643" w:firstLineChars="200"/>
        <w:jc w:val="left"/>
        <w:textAlignment w:val="auto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Style w:val="10"/>
          <w:rFonts w:hint="eastAsia" w:ascii="彩虹粗仿宋" w:hAnsi="Arial" w:eastAsia="彩虹粗仿宋" w:cs="Arial"/>
          <w:b/>
          <w:kern w:val="0"/>
          <w:sz w:val="32"/>
          <w:szCs w:val="32"/>
          <w:highlight w:val="none"/>
        </w:rPr>
        <w:t>本风险揭示书自客户法定代表人（负责人）或授权代理人在柜外清等设备上阅读本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highlight w:val="none"/>
          <w:lang w:val="en-US" w:eastAsia="zh-CN"/>
        </w:rPr>
        <w:t>风险揭示书</w:t>
      </w:r>
      <w:r>
        <w:rPr>
          <w:rStyle w:val="10"/>
          <w:rFonts w:hint="eastAsia" w:ascii="彩虹粗仿宋" w:hAnsi="Arial" w:eastAsia="彩虹粗仿宋" w:cs="Arial"/>
          <w:b/>
          <w:kern w:val="0"/>
          <w:sz w:val="32"/>
          <w:szCs w:val="32"/>
          <w:highlight w:val="none"/>
        </w:rPr>
        <w:t>并点击确认（或其他具同等意义的按钮）之后生效，对客户及中国建设银行具有约束力。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客户声明：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投资决策完全是由本单位独立、自主、谨慎做出的。本单位已经阅读对公黄金积存业务风险揭示书及协议书所有条款（包括背面），充分理解并自愿承担本产品相关风险。本单位在办理对公黄金积存业务前，已完成风险承受能力评估，且该评估结果具有效力。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i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i/>
          <w:kern w:val="0"/>
          <w:sz w:val="32"/>
          <w:szCs w:val="32"/>
        </w:rPr>
        <w:t>（如影响贵</w:t>
      </w:r>
      <w:r>
        <w:rPr>
          <w:rFonts w:hint="eastAsia" w:ascii="彩虹粗仿宋" w:hAnsi="Arial" w:eastAsia="彩虹粗仿宋" w:cs="Arial"/>
          <w:i/>
          <w:iCs/>
          <w:kern w:val="0"/>
          <w:sz w:val="32"/>
          <w:szCs w:val="32"/>
        </w:rPr>
        <w:t>单位</w:t>
      </w:r>
      <w:r>
        <w:rPr>
          <w:rFonts w:hint="eastAsia" w:ascii="彩虹粗仿宋" w:hAnsi="Arial" w:eastAsia="彩虹粗仿宋" w:cs="Arial"/>
          <w:i/>
          <w:kern w:val="0"/>
          <w:sz w:val="32"/>
          <w:szCs w:val="32"/>
        </w:rPr>
        <w:t>风险承受能力的因素发生变化，请及时完成风险承受能力评估）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本单位风险承受能力评级：______（由客户自行填写）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根据监管部门的要求，为确保客户充分理解本产品的风险，请在确认栏抄录以下语句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pStyle w:val="3"/>
        <w:spacing w:line="587" w:lineRule="exact"/>
        <w:jc w:val="left"/>
        <w:rPr>
          <w:rFonts w:ascii="彩虹粗仿宋" w:eastAsia="彩虹粗仿宋"/>
          <w:b/>
          <w:bCs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我单位已经阅读风险揭示，愿意承担投资风险。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 xml:space="preserve">客户抄录：                                          </w:t>
      </w:r>
    </w:p>
    <w:p>
      <w:pPr>
        <w:widowControl/>
        <w:spacing w:line="587" w:lineRule="exact"/>
        <w:jc w:val="left"/>
        <w:rPr>
          <w:rFonts w:ascii="彩虹粗仿宋" w:eastAsia="彩虹粗仿宋"/>
          <w:snapToGrid w:val="0"/>
          <w:color w:val="000000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932975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FC"/>
    <w:rsid w:val="000A12B8"/>
    <w:rsid w:val="000D65D3"/>
    <w:rsid w:val="000E2D04"/>
    <w:rsid w:val="00160724"/>
    <w:rsid w:val="001978AB"/>
    <w:rsid w:val="001B5A4B"/>
    <w:rsid w:val="0020611A"/>
    <w:rsid w:val="002430E6"/>
    <w:rsid w:val="002721C0"/>
    <w:rsid w:val="002864AE"/>
    <w:rsid w:val="00296FA1"/>
    <w:rsid w:val="002C7D5D"/>
    <w:rsid w:val="00311C8C"/>
    <w:rsid w:val="00314AE9"/>
    <w:rsid w:val="003700DD"/>
    <w:rsid w:val="003858D9"/>
    <w:rsid w:val="004B137B"/>
    <w:rsid w:val="004C5DCA"/>
    <w:rsid w:val="00502E99"/>
    <w:rsid w:val="00526F08"/>
    <w:rsid w:val="00532D9E"/>
    <w:rsid w:val="005A64FB"/>
    <w:rsid w:val="0060009B"/>
    <w:rsid w:val="00614DC2"/>
    <w:rsid w:val="00634DAF"/>
    <w:rsid w:val="00654E11"/>
    <w:rsid w:val="00664A30"/>
    <w:rsid w:val="006A6E96"/>
    <w:rsid w:val="00724203"/>
    <w:rsid w:val="00730865"/>
    <w:rsid w:val="00780217"/>
    <w:rsid w:val="008512FC"/>
    <w:rsid w:val="00874BBC"/>
    <w:rsid w:val="008838CB"/>
    <w:rsid w:val="0089796C"/>
    <w:rsid w:val="008C2B4B"/>
    <w:rsid w:val="008D11E9"/>
    <w:rsid w:val="008D54E5"/>
    <w:rsid w:val="009B6FA5"/>
    <w:rsid w:val="00A11827"/>
    <w:rsid w:val="00AF27E5"/>
    <w:rsid w:val="00B371F1"/>
    <w:rsid w:val="00B4635D"/>
    <w:rsid w:val="00B6730A"/>
    <w:rsid w:val="00B73E58"/>
    <w:rsid w:val="00BE488C"/>
    <w:rsid w:val="00BE7AD3"/>
    <w:rsid w:val="00C522D4"/>
    <w:rsid w:val="00C70DD5"/>
    <w:rsid w:val="00C801D0"/>
    <w:rsid w:val="00C9436A"/>
    <w:rsid w:val="00C97F8C"/>
    <w:rsid w:val="00D95D45"/>
    <w:rsid w:val="00DB61C4"/>
    <w:rsid w:val="00DC7ED4"/>
    <w:rsid w:val="00DF036C"/>
    <w:rsid w:val="00DF75C5"/>
    <w:rsid w:val="00E20F88"/>
    <w:rsid w:val="00EF45A7"/>
    <w:rsid w:val="00F50D53"/>
    <w:rsid w:val="00F813D2"/>
    <w:rsid w:val="00FA5EB5"/>
    <w:rsid w:val="06F95E12"/>
    <w:rsid w:val="0B334CDA"/>
    <w:rsid w:val="0E2051F0"/>
    <w:rsid w:val="10BE6AB1"/>
    <w:rsid w:val="17BD2B20"/>
    <w:rsid w:val="1B5620CE"/>
    <w:rsid w:val="1C800C66"/>
    <w:rsid w:val="218A3ED4"/>
    <w:rsid w:val="223E4CF5"/>
    <w:rsid w:val="282923C5"/>
    <w:rsid w:val="300E61D8"/>
    <w:rsid w:val="31BE7F53"/>
    <w:rsid w:val="42D76C50"/>
    <w:rsid w:val="45E04966"/>
    <w:rsid w:val="495A7862"/>
    <w:rsid w:val="4FF81384"/>
    <w:rsid w:val="5DB375BA"/>
    <w:rsid w:val="610468A2"/>
    <w:rsid w:val="62FA50E8"/>
    <w:rsid w:val="66384B5F"/>
    <w:rsid w:val="686339D5"/>
    <w:rsid w:val="6DEA75C3"/>
    <w:rsid w:val="70A072D3"/>
    <w:rsid w:val="72D13370"/>
    <w:rsid w:val="7C5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ccb.com</Company>
  <Pages>4</Pages>
  <Words>198</Words>
  <Characters>1133</Characters>
  <Lines>9</Lines>
  <Paragraphs>2</Paragraphs>
  <TotalTime>42</TotalTime>
  <ScaleCrop>false</ScaleCrop>
  <LinksUpToDate>false</LinksUpToDate>
  <CharactersWithSpaces>1329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2024-08-21T07:11:00Z</dcterms:created>
  <dc:creator>刘凯</dc:creator>
  <cp:lastModifiedBy>CCB</cp:lastModifiedBy>
  <dcterms:modified xsi:type="dcterms:W3CDTF">2026-04-30T02:17:44Z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E3FD0E05A01B45ABB280EF0270368113_12</vt:lpwstr>
  </property>
</Properties>
</file>