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彩虹黑体" w:eastAsia="彩虹黑体"/>
          <w:sz w:val="32"/>
          <w:szCs w:val="32"/>
        </w:rPr>
      </w:pPr>
    </w:p>
    <w:p>
      <w:pPr>
        <w:widowControl/>
        <w:spacing w:line="400" w:lineRule="exact"/>
        <w:jc w:val="center"/>
        <w:rPr>
          <w:rFonts w:hint="eastAsia" w:ascii="彩虹小标宋" w:hAnsi="彩虹小标宋" w:eastAsia="彩虹小标宋" w:cs="彩虹小标宋"/>
          <w:color w:val="000000"/>
          <w:kern w:val="0"/>
          <w:sz w:val="44"/>
          <w:szCs w:val="44"/>
          <w:lang w:eastAsia="zh-CN"/>
        </w:rPr>
      </w:pPr>
      <w:r>
        <w:rPr>
          <w:rFonts w:hint="eastAsia" w:ascii="彩虹小标宋" w:hAnsi="彩虹小标宋" w:eastAsia="彩虹小标宋" w:cs="彩虹小标宋"/>
          <w:color w:val="000000"/>
          <w:kern w:val="0"/>
          <w:sz w:val="44"/>
          <w:szCs w:val="44"/>
        </w:rPr>
        <w:t>中国建设银行对公黄金积存业务权益须知</w:t>
      </w:r>
      <w:r>
        <w:rPr>
          <w:rFonts w:hint="eastAsia" w:ascii="彩虹小标宋" w:hAnsi="彩虹小标宋" w:eastAsia="彩虹小标宋" w:cs="彩虹小标宋"/>
          <w:color w:val="000000"/>
          <w:kern w:val="0"/>
          <w:sz w:val="44"/>
          <w:szCs w:val="44"/>
          <w:lang w:eastAsia="zh-CN"/>
        </w:rPr>
        <w:t>（</w:t>
      </w:r>
      <w:r>
        <w:rPr>
          <w:rFonts w:hint="eastAsia" w:ascii="彩虹小标宋" w:hAnsi="彩虹小标宋" w:eastAsia="彩虹小标宋" w:cs="彩虹小标宋"/>
          <w:color w:val="000000"/>
          <w:kern w:val="0"/>
          <w:sz w:val="44"/>
          <w:szCs w:val="44"/>
          <w:lang w:val="en-US" w:eastAsia="zh-CN"/>
        </w:rPr>
        <w:t>2026年7</w:t>
      </w:r>
      <w:bookmarkStart w:id="0" w:name="_GoBack"/>
      <w:bookmarkEnd w:id="0"/>
      <w:r>
        <w:rPr>
          <w:rFonts w:hint="eastAsia" w:ascii="彩虹小标宋" w:hAnsi="彩虹小标宋" w:eastAsia="彩虹小标宋" w:cs="彩虹小标宋"/>
          <w:color w:val="000000"/>
          <w:kern w:val="0"/>
          <w:sz w:val="44"/>
          <w:szCs w:val="44"/>
          <w:lang w:val="en-US" w:eastAsia="zh-CN"/>
        </w:rPr>
        <w:t>月版</w:t>
      </w:r>
      <w:r>
        <w:rPr>
          <w:rFonts w:hint="eastAsia" w:ascii="彩虹小标宋" w:hAnsi="彩虹小标宋" w:eastAsia="彩虹小标宋" w:cs="彩虹小标宋"/>
          <w:color w:val="000000"/>
          <w:kern w:val="0"/>
          <w:sz w:val="44"/>
          <w:szCs w:val="44"/>
          <w:lang w:eastAsia="zh-CN"/>
        </w:rPr>
        <w:t>）</w:t>
      </w:r>
    </w:p>
    <w:p>
      <w:pPr>
        <w:widowControl/>
        <w:jc w:val="left"/>
        <w:rPr>
          <w:rFonts w:ascii="彩虹粗仿宋" w:hAnsi="宋体" w:eastAsia="彩虹粗仿宋"/>
          <w:sz w:val="22"/>
          <w:szCs w:val="22"/>
        </w:rPr>
      </w:pPr>
    </w:p>
    <w:p>
      <w:pPr>
        <w:spacing w:line="560" w:lineRule="exact"/>
        <w:rPr>
          <w:rFonts w:ascii="彩虹粗仿宋" w:hAnsi="宋体" w:eastAsia="彩虹粗仿宋"/>
          <w:sz w:val="32"/>
          <w:szCs w:val="32"/>
        </w:rPr>
      </w:pPr>
    </w:p>
    <w:p>
      <w:pPr>
        <w:keepNext w:val="0"/>
        <w:keepLines w:val="0"/>
        <w:pageBreakBefore w:val="0"/>
        <w:widowControl w:val="0"/>
        <w:kinsoku/>
        <w:wordWrap/>
        <w:overflowPunct/>
        <w:topLinePunct w:val="0"/>
        <w:autoSpaceDE/>
        <w:autoSpaceDN/>
        <w:bidi w:val="0"/>
        <w:adjustRightInd/>
        <w:snapToGrid/>
        <w:spacing w:line="587" w:lineRule="exact"/>
        <w:textAlignment w:val="auto"/>
        <w:rPr>
          <w:rFonts w:ascii="彩虹粗仿宋" w:hAnsi="宋体" w:eastAsia="彩虹粗仿宋"/>
          <w:sz w:val="32"/>
          <w:szCs w:val="32"/>
        </w:rPr>
      </w:pPr>
      <w:r>
        <w:rPr>
          <w:rFonts w:hint="eastAsia" w:ascii="彩虹粗仿宋" w:hAnsi="宋体" w:eastAsia="彩虹粗仿宋"/>
          <w:sz w:val="32"/>
          <w:szCs w:val="32"/>
        </w:rPr>
        <w:t>尊敬的客户：</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为了保护您的合法权益，请您在投资本产品前认真阅读以下内容：</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1.客户申请办理对公黄金积存业务，须提供申请书、营业执照、经办人身份证、授权书等</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要求的材料或通过</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认可的线上签约渠道进行签约申请并完成企业认证，同时指定其在</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开立的对公结算账户、结算卡或对公钱包作为扣款、卖出、提兑的资金结算账户。</w:t>
      </w:r>
      <w:r>
        <w:rPr>
          <w:rFonts w:hint="eastAsia" w:ascii="彩虹粗仿宋" w:hAnsi="宋体" w:eastAsia="彩虹粗仿宋"/>
          <w:b/>
          <w:bCs/>
          <w:sz w:val="32"/>
          <w:szCs w:val="32"/>
        </w:rPr>
        <w:t>客户不得使用贷款、发行债券等筹集的非自有资金及党工团资金投资对公黄金积存产品。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2.客户在</w:t>
      </w:r>
      <w:r>
        <w:rPr>
          <w:rFonts w:hint="eastAsia" w:ascii="彩虹粗仿宋" w:hAnsi="宋体" w:eastAsia="彩虹粗仿宋"/>
          <w:b/>
          <w:bCs/>
          <w:sz w:val="32"/>
          <w:szCs w:val="32"/>
        </w:rPr>
        <w:t>首次办理</w:t>
      </w:r>
      <w:r>
        <w:rPr>
          <w:rFonts w:hint="eastAsia" w:ascii="彩虹粗仿宋" w:hAnsi="宋体" w:eastAsia="彩虹粗仿宋"/>
          <w:sz w:val="32"/>
          <w:szCs w:val="32"/>
        </w:rPr>
        <w:t>对公黄金积存业务前，</w:t>
      </w:r>
      <w:r>
        <w:rPr>
          <w:rFonts w:hint="eastAsia" w:ascii="彩虹粗仿宋" w:hAnsi="宋体" w:eastAsia="彩虹粗仿宋"/>
          <w:sz w:val="32"/>
          <w:szCs w:val="32"/>
          <w:highlight w:val="none"/>
        </w:rPr>
        <w:t>需在</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highlight w:val="none"/>
        </w:rPr>
        <w:t>进行</w:t>
      </w:r>
      <w:r>
        <w:rPr>
          <w:rFonts w:hint="eastAsia" w:ascii="彩虹粗仿宋" w:hAnsi="宋体" w:eastAsia="彩虹粗仿宋"/>
          <w:b/>
          <w:bCs/>
          <w:sz w:val="32"/>
          <w:szCs w:val="32"/>
          <w:highlight w:val="none"/>
        </w:rPr>
        <w:t>风险承受能力评估</w:t>
      </w:r>
      <w:r>
        <w:rPr>
          <w:rFonts w:hint="eastAsia" w:ascii="彩虹粗仿宋" w:hAnsi="宋体" w:eastAsia="彩虹粗仿宋"/>
          <w:b/>
          <w:bCs/>
          <w:sz w:val="32"/>
          <w:szCs w:val="32"/>
        </w:rPr>
        <w:t>，超过一年</w:t>
      </w:r>
      <w:r>
        <w:rPr>
          <w:rFonts w:hint="eastAsia" w:ascii="彩虹粗仿宋" w:hAnsi="宋体" w:eastAsia="彩虹粗仿宋"/>
          <w:sz w:val="32"/>
          <w:szCs w:val="32"/>
        </w:rPr>
        <w:t>未进行风险承受能力评估，需</w:t>
      </w:r>
      <w:r>
        <w:rPr>
          <w:rFonts w:hint="eastAsia" w:ascii="彩虹粗仿宋" w:hAnsi="宋体" w:eastAsia="彩虹粗仿宋"/>
          <w:b/>
          <w:bCs/>
          <w:sz w:val="32"/>
          <w:szCs w:val="32"/>
        </w:rPr>
        <w:t>重新进行评估</w:t>
      </w:r>
      <w:r>
        <w:rPr>
          <w:rFonts w:hint="eastAsia" w:ascii="彩虹粗仿宋" w:hAnsi="宋体" w:eastAsia="彩虹粗仿宋"/>
          <w:sz w:val="32"/>
          <w:szCs w:val="32"/>
        </w:rPr>
        <w:t>，您可在</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网点或通过</w:t>
      </w:r>
      <w:r>
        <w:rPr>
          <w:rFonts w:hint="eastAsia" w:ascii="彩虹粗仿宋" w:hAnsi="宋体" w:eastAsia="彩虹粗仿宋"/>
          <w:sz w:val="32"/>
          <w:szCs w:val="32"/>
          <w:lang w:val="en-US" w:eastAsia="zh-CN"/>
        </w:rPr>
        <w:t>企业网银</w:t>
      </w:r>
      <w:r>
        <w:rPr>
          <w:rFonts w:hint="eastAsia" w:ascii="彩虹粗仿宋" w:hAnsi="宋体" w:eastAsia="彩虹粗仿宋"/>
          <w:sz w:val="32"/>
          <w:szCs w:val="32"/>
        </w:rPr>
        <w:t>、</w:t>
      </w:r>
      <w:r>
        <w:rPr>
          <w:rFonts w:hint="eastAsia" w:ascii="彩虹粗仿宋" w:hAnsi="宋体" w:eastAsia="彩虹粗仿宋"/>
          <w:sz w:val="32"/>
          <w:szCs w:val="32"/>
          <w:lang w:val="en-US" w:eastAsia="zh-CN"/>
        </w:rPr>
        <w:t>企业</w:t>
      </w:r>
      <w:r>
        <w:rPr>
          <w:rFonts w:hint="eastAsia" w:ascii="彩虹粗仿宋" w:hAnsi="宋体" w:eastAsia="彩虹粗仿宋"/>
          <w:sz w:val="32"/>
          <w:szCs w:val="32"/>
        </w:rPr>
        <w:t>手机银行等渠道进行评估；</w:t>
      </w:r>
      <w:r>
        <w:rPr>
          <w:rFonts w:hint="eastAsia" w:ascii="彩虹粗仿宋" w:hAnsi="宋体" w:eastAsia="彩虹粗仿宋"/>
          <w:sz w:val="32"/>
          <w:szCs w:val="32"/>
          <w:highlight w:val="none"/>
          <w:lang w:val="en-US" w:eastAsia="zh-CN"/>
        </w:rPr>
        <w:t>若</w:t>
      </w:r>
      <w:r>
        <w:rPr>
          <w:rFonts w:hint="eastAsia" w:ascii="彩虹粗仿宋" w:hAnsi="宋体" w:eastAsia="彩虹粗仿宋"/>
          <w:sz w:val="32"/>
          <w:szCs w:val="32"/>
          <w:highlight w:val="none"/>
        </w:rPr>
        <w:t>您的风险承受能力</w:t>
      </w:r>
      <w:r>
        <w:rPr>
          <w:rFonts w:hint="eastAsia" w:ascii="彩虹粗仿宋" w:hAnsi="宋体" w:eastAsia="彩虹粗仿宋"/>
          <w:b/>
          <w:bCs/>
          <w:sz w:val="32"/>
          <w:szCs w:val="32"/>
          <w:highlight w:val="none"/>
        </w:rPr>
        <w:t>发生变化</w:t>
      </w:r>
      <w:r>
        <w:rPr>
          <w:rFonts w:hint="eastAsia" w:ascii="彩虹粗仿宋" w:hAnsi="宋体" w:eastAsia="彩虹粗仿宋"/>
          <w:sz w:val="32"/>
          <w:szCs w:val="32"/>
          <w:highlight w:val="none"/>
        </w:rPr>
        <w:t>，请您主动进行风险承受能力评估。</w:t>
      </w:r>
      <w:r>
        <w:rPr>
          <w:rFonts w:hint="eastAsia" w:ascii="彩虹粗仿宋" w:hAnsi="宋体" w:eastAsia="彩虹粗仿宋"/>
          <w:sz w:val="32"/>
          <w:szCs w:val="32"/>
        </w:rPr>
        <w:t>客户风险评估结果按风险承受能力从弱到强分为</w:t>
      </w:r>
      <w:r>
        <w:rPr>
          <w:rFonts w:hint="eastAsia" w:ascii="彩虹粗仿宋" w:hAnsi="宋体" w:eastAsia="彩虹粗仿宋"/>
          <w:sz w:val="32"/>
          <w:szCs w:val="32"/>
          <w:lang w:val="en-US" w:eastAsia="zh-CN"/>
        </w:rPr>
        <w:t>5</w:t>
      </w:r>
      <w:r>
        <w:rPr>
          <w:rFonts w:hint="eastAsia" w:ascii="彩虹粗仿宋" w:hAnsi="宋体" w:eastAsia="彩虹粗仿宋"/>
          <w:sz w:val="32"/>
          <w:szCs w:val="32"/>
        </w:rPr>
        <w:t>级：谨慎型（C1）</w:t>
      </w:r>
      <w:r>
        <w:rPr>
          <w:rFonts w:hint="eastAsia" w:ascii="彩虹粗仿宋" w:hAnsi="宋体" w:eastAsia="彩虹粗仿宋"/>
          <w:sz w:val="32"/>
          <w:szCs w:val="32"/>
          <w:lang w:val="en-US" w:eastAsia="zh-CN"/>
        </w:rPr>
        <w:t>、</w:t>
      </w:r>
      <w:r>
        <w:rPr>
          <w:rFonts w:hint="eastAsia" w:ascii="彩虹粗仿宋" w:hAnsi="宋体" w:eastAsia="彩虹粗仿宋"/>
          <w:sz w:val="32"/>
          <w:szCs w:val="32"/>
        </w:rPr>
        <w:t>稳健型（C2）</w:t>
      </w:r>
      <w:r>
        <w:rPr>
          <w:rFonts w:hint="eastAsia" w:ascii="彩虹粗仿宋" w:hAnsi="宋体" w:eastAsia="彩虹粗仿宋"/>
          <w:sz w:val="32"/>
          <w:szCs w:val="32"/>
          <w:lang w:eastAsia="zh-CN"/>
        </w:rPr>
        <w:t>、</w:t>
      </w:r>
      <w:r>
        <w:rPr>
          <w:rFonts w:hint="eastAsia" w:ascii="彩虹粗仿宋" w:hAnsi="宋体" w:eastAsia="彩虹粗仿宋"/>
          <w:sz w:val="32"/>
          <w:szCs w:val="32"/>
        </w:rPr>
        <w:t>平衡型（C3）</w:t>
      </w:r>
      <w:r>
        <w:rPr>
          <w:rFonts w:hint="eastAsia" w:ascii="彩虹粗仿宋" w:hAnsi="宋体" w:eastAsia="彩虹粗仿宋"/>
          <w:sz w:val="32"/>
          <w:szCs w:val="32"/>
          <w:lang w:eastAsia="zh-CN"/>
        </w:rPr>
        <w:t>、</w:t>
      </w:r>
      <w:r>
        <w:rPr>
          <w:rFonts w:hint="eastAsia" w:ascii="彩虹粗仿宋" w:hAnsi="宋体" w:eastAsia="彩虹粗仿宋"/>
          <w:sz w:val="32"/>
          <w:szCs w:val="32"/>
        </w:rPr>
        <w:t>进取型（C4）</w:t>
      </w:r>
      <w:r>
        <w:rPr>
          <w:rFonts w:hint="eastAsia" w:ascii="彩虹粗仿宋" w:hAnsi="宋体" w:eastAsia="彩虹粗仿宋"/>
          <w:sz w:val="32"/>
          <w:szCs w:val="32"/>
          <w:lang w:eastAsia="zh-CN"/>
        </w:rPr>
        <w:t>、</w:t>
      </w:r>
      <w:r>
        <w:rPr>
          <w:rFonts w:hint="eastAsia" w:ascii="彩虹粗仿宋" w:hAnsi="宋体" w:eastAsia="彩虹粗仿宋"/>
          <w:sz w:val="32"/>
          <w:szCs w:val="32"/>
        </w:rPr>
        <w:t>激进型（C5）。您的风险承受能力评估结果应以您最近一次有效评估结果为准，请您参考该次评估结果来选择与您风险承受能力相匹配的投资类产品。如果您在对公黄金积存产品持有期间发生风险承受能力变化，导致您投资的产品与您自身风险承受能力不匹配的，建议您尽快卖出，终止投资，请您在投资前审慎决策。</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彩虹粗仿宋" w:hAnsi="宋体" w:eastAsia="彩虹粗仿宋"/>
          <w:sz w:val="22"/>
          <w:szCs w:val="22"/>
        </w:rPr>
      </w:pPr>
      <w:r>
        <w:rPr>
          <w:rFonts w:hint="eastAsia" w:ascii="彩虹粗仿宋" w:hAnsi="宋体" w:eastAsia="彩虹粗仿宋"/>
          <w:b/>
          <w:bCs/>
          <w:sz w:val="32"/>
          <w:szCs w:val="32"/>
          <w:lang w:val="en-US" w:eastAsia="zh-CN"/>
        </w:rPr>
        <w:t>建设银行</w:t>
      </w:r>
      <w:r>
        <w:rPr>
          <w:rFonts w:hint="eastAsia" w:ascii="彩虹粗仿宋" w:hAnsi="宋体" w:eastAsia="彩虹粗仿宋"/>
          <w:b/>
          <w:bCs/>
          <w:sz w:val="32"/>
          <w:szCs w:val="32"/>
        </w:rPr>
        <w:t>对公黄金积存业务风险评级为</w:t>
      </w:r>
      <w:r>
        <w:rPr>
          <w:rFonts w:hint="eastAsia" w:ascii="彩虹粗仿宋" w:hAnsi="宋体" w:eastAsia="彩虹粗仿宋"/>
          <w:b/>
          <w:bCs/>
          <w:sz w:val="32"/>
          <w:szCs w:val="32"/>
          <w:lang w:val="en-US" w:eastAsia="zh-CN"/>
        </w:rPr>
        <w:t>中高</w:t>
      </w:r>
      <w:r>
        <w:rPr>
          <w:rFonts w:hint="eastAsia" w:ascii="彩虹粗仿宋" w:hAnsi="宋体" w:eastAsia="彩虹粗仿宋"/>
          <w:b/>
          <w:bCs/>
          <w:sz w:val="32"/>
          <w:szCs w:val="32"/>
        </w:rPr>
        <w:t>风险</w:t>
      </w:r>
      <w:r>
        <w:rPr>
          <w:rFonts w:hint="eastAsia" w:ascii="彩虹粗仿宋" w:hAnsi="宋体" w:eastAsia="彩虹粗仿宋"/>
          <w:b/>
          <w:bCs/>
          <w:sz w:val="32"/>
          <w:szCs w:val="32"/>
          <w:lang w:eastAsia="zh-CN"/>
        </w:rPr>
        <w:t>（</w:t>
      </w:r>
      <w:r>
        <w:rPr>
          <w:rFonts w:hint="eastAsia" w:ascii="彩虹粗仿宋" w:hAnsi="宋体" w:eastAsia="彩虹粗仿宋"/>
          <w:b/>
          <w:bCs/>
          <w:sz w:val="32"/>
          <w:szCs w:val="32"/>
          <w:lang w:val="en-US" w:eastAsia="zh-CN"/>
        </w:rPr>
        <w:t>R4</w:t>
      </w:r>
      <w:r>
        <w:rPr>
          <w:rFonts w:hint="eastAsia" w:ascii="彩虹粗仿宋" w:hAnsi="宋体" w:eastAsia="彩虹粗仿宋"/>
          <w:b/>
          <w:bCs/>
          <w:sz w:val="32"/>
          <w:szCs w:val="32"/>
          <w:lang w:eastAsia="zh-CN"/>
        </w:rPr>
        <w:t>）</w:t>
      </w:r>
      <w:r>
        <w:rPr>
          <w:rFonts w:hint="eastAsia" w:ascii="彩虹粗仿宋" w:hAnsi="宋体" w:eastAsia="彩虹粗仿宋"/>
          <w:sz w:val="32"/>
          <w:szCs w:val="32"/>
        </w:rPr>
        <w:t>，中国建设银行不保证本金和收益，本业务过往走势不代表其未来表现，不等于实际收益，投资须谨慎。</w:t>
      </w:r>
      <w:r>
        <w:rPr>
          <w:rFonts w:hint="eastAsia" w:ascii="彩虹粗仿宋" w:hAnsi="宋体" w:eastAsia="彩虹粗仿宋"/>
          <w:b/>
          <w:bCs/>
          <w:sz w:val="32"/>
          <w:szCs w:val="32"/>
        </w:rPr>
        <w:t>最不利情况下，</w:t>
      </w:r>
      <w:r>
        <w:rPr>
          <w:rFonts w:hint="eastAsia" w:ascii="彩虹粗仿宋" w:hAnsi="宋体" w:eastAsia="彩虹粗仿宋"/>
          <w:b/>
          <w:bCs/>
          <w:sz w:val="32"/>
          <w:szCs w:val="32"/>
          <w:highlight w:val="none"/>
        </w:rPr>
        <w:t>投资本金遭受损失的可能性高，甚至可能损失全部本金</w:t>
      </w:r>
      <w:r>
        <w:rPr>
          <w:rFonts w:hint="eastAsia" w:ascii="彩虹粗仿宋" w:hAnsi="宋体" w:eastAsia="彩虹粗仿宋"/>
          <w:b/>
          <w:bCs/>
          <w:sz w:val="32"/>
          <w:szCs w:val="32"/>
        </w:rPr>
        <w:t>。</w:t>
      </w:r>
      <w:r>
        <w:rPr>
          <w:rFonts w:hint="eastAsia" w:ascii="彩虹粗仿宋" w:hAnsi="宋体" w:eastAsia="彩虹粗仿宋"/>
          <w:sz w:val="32"/>
          <w:szCs w:val="32"/>
          <w:lang w:val="en-US" w:eastAsia="zh-CN"/>
        </w:rPr>
        <w:t>建设银行产品</w:t>
      </w:r>
      <w:r>
        <w:rPr>
          <w:rFonts w:hint="eastAsia" w:ascii="彩虹粗仿宋" w:hAnsi="宋体" w:eastAsia="彩虹粗仿宋"/>
          <w:sz w:val="32"/>
          <w:szCs w:val="32"/>
          <w:highlight w:val="none"/>
        </w:rPr>
        <w:t>风险评级所适用的客户具体说明如下表。产品评级为中国建设银行基于投资品种期限、信用等级等相关要素做出的内部评级结果。</w:t>
      </w:r>
      <w:r>
        <w:rPr>
          <w:rFonts w:hint="eastAsia" w:ascii="彩虹粗仿宋" w:hAnsi="宋体" w:eastAsia="彩虹粗仿宋"/>
          <w:b/>
          <w:bCs/>
          <w:sz w:val="32"/>
          <w:szCs w:val="32"/>
          <w:highlight w:val="none"/>
        </w:rPr>
        <w:t>该评级仅供您参考，不具备对收益作出任何保证或承诺的法律效力</w:t>
      </w:r>
      <w:r>
        <w:rPr>
          <w:rFonts w:hint="eastAsia" w:ascii="彩虹粗仿宋" w:hAnsi="宋体" w:eastAsia="彩虹粗仿宋"/>
          <w:b/>
          <w:bCs/>
          <w:sz w:val="32"/>
          <w:szCs w:val="32"/>
        </w:rPr>
        <w:t>。</w:t>
      </w:r>
    </w:p>
    <w:p>
      <w:pPr>
        <w:rPr>
          <w:rFonts w:ascii="彩虹粗仿宋" w:eastAsia="彩虹粗仿宋"/>
          <w:sz w:val="22"/>
          <w:szCs w:val="22"/>
        </w:rPr>
      </w:pPr>
    </w:p>
    <w:tbl>
      <w:tblPr>
        <w:tblStyle w:val="6"/>
        <w:tblW w:w="7725"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0" w:type="dxa"/>
          <w:bottom w:w="0" w:type="dxa"/>
          <w:right w:w="0" w:type="dxa"/>
        </w:tblCellMar>
      </w:tblPr>
      <w:tblGrid>
        <w:gridCol w:w="1905"/>
        <w:gridCol w:w="5820"/>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before="156" w:beforeLines="50" w:after="156" w:afterLines="50" w:line="280" w:lineRule="exact"/>
              <w:jc w:val="center"/>
              <w:rPr>
                <w:rFonts w:hint="eastAsia" w:ascii="彩虹粗仿宋" w:hAnsi="黑体" w:eastAsia="彩虹粗仿宋"/>
                <w:b/>
                <w:bCs/>
                <w:sz w:val="22"/>
              </w:rPr>
            </w:pPr>
            <w:r>
              <w:rPr>
                <w:rFonts w:hint="eastAsia" w:ascii="彩虹粗仿宋" w:hAnsi="黑体" w:eastAsia="彩虹粗仿宋"/>
                <w:b/>
                <w:bCs/>
                <w:sz w:val="22"/>
                <w:lang w:val="en-US" w:eastAsia="zh-CN"/>
              </w:rPr>
              <w:t>产品</w:t>
            </w:r>
            <w:r>
              <w:rPr>
                <w:rFonts w:hint="eastAsia" w:ascii="彩虹粗仿宋" w:hAnsi="黑体" w:eastAsia="彩虹粗仿宋"/>
                <w:b/>
                <w:bCs/>
                <w:sz w:val="22"/>
              </w:rPr>
              <w:t>风险等级</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280" w:lineRule="exact"/>
              <w:jc w:val="center"/>
              <w:rPr>
                <w:rFonts w:hint="eastAsia" w:ascii="彩虹粗仿宋" w:hAnsi="黑体" w:eastAsia="彩虹粗仿宋"/>
                <w:b/>
                <w:bCs/>
                <w:sz w:val="22"/>
              </w:rPr>
            </w:pPr>
            <w:r>
              <w:rPr>
                <w:rFonts w:hint="eastAsia" w:ascii="彩虹粗仿宋" w:hAnsi="黑体" w:eastAsia="彩虹粗仿宋"/>
                <w:b/>
                <w:bCs/>
                <w:sz w:val="22"/>
              </w:rPr>
              <w:t>适用</w:t>
            </w:r>
            <w:r>
              <w:rPr>
                <w:rFonts w:hint="eastAsia" w:ascii="彩虹粗仿宋" w:hAnsi="黑体" w:eastAsia="彩虹粗仿宋"/>
                <w:b/>
                <w:bCs/>
                <w:sz w:val="22"/>
                <w:lang w:val="en-US" w:eastAsia="zh-CN"/>
              </w:rPr>
              <w:t>客户</w:t>
            </w:r>
            <w:r>
              <w:rPr>
                <w:rFonts w:hint="eastAsia" w:ascii="彩虹粗仿宋" w:hAnsi="黑体" w:eastAsia="彩虹粗仿宋"/>
                <w:b/>
                <w:bCs/>
                <w:sz w:val="22"/>
              </w:rPr>
              <w:t>群体</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​低风险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R1</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谨慎型（C1）</w:t>
            </w:r>
            <w:r>
              <w:rPr>
                <w:rFonts w:hint="eastAsia" w:ascii="彩虹粗仿宋" w:hAnsi="宋体" w:eastAsia="彩虹粗仿宋"/>
                <w:bCs/>
                <w:sz w:val="22"/>
                <w:lang w:eastAsia="zh-CN"/>
              </w:rPr>
              <w:t>、</w:t>
            </w:r>
            <w:r>
              <w:rPr>
                <w:rFonts w:hint="eastAsia" w:ascii="彩虹粗仿宋" w:hAnsi="宋体" w:eastAsia="彩虹粗仿宋"/>
                <w:bCs/>
                <w:sz w:val="22"/>
              </w:rPr>
              <w:t>稳健型（C2）</w:t>
            </w:r>
            <w:r>
              <w:rPr>
                <w:rFonts w:hint="eastAsia" w:ascii="彩虹粗仿宋" w:hAnsi="宋体" w:eastAsia="彩虹粗仿宋"/>
                <w:bCs/>
                <w:sz w:val="22"/>
                <w:lang w:eastAsia="zh-CN"/>
              </w:rPr>
              <w:t>、</w:t>
            </w:r>
            <w:r>
              <w:rPr>
                <w:rFonts w:hint="eastAsia" w:ascii="彩虹粗仿宋" w:hAnsi="宋体" w:eastAsia="彩虹粗仿宋"/>
                <w:bCs/>
                <w:sz w:val="22"/>
              </w:rPr>
              <w:t>平衡型（C3）</w:t>
            </w:r>
            <w:r>
              <w:rPr>
                <w:rFonts w:hint="eastAsia" w:ascii="彩虹粗仿宋" w:hAnsi="宋体" w:eastAsia="彩虹粗仿宋"/>
                <w:bCs/>
                <w:sz w:val="22"/>
                <w:lang w:eastAsia="zh-CN"/>
              </w:rPr>
              <w:t>、</w:t>
            </w:r>
            <w:r>
              <w:rPr>
                <w:rFonts w:hint="eastAsia" w:ascii="彩虹粗仿宋" w:hAnsi="宋体" w:eastAsia="彩虹粗仿宋"/>
                <w:bCs/>
                <w:sz w:val="22"/>
              </w:rPr>
              <w:t>进取型（C4）</w:t>
            </w:r>
            <w:r>
              <w:rPr>
                <w:rFonts w:hint="eastAsia" w:ascii="彩虹粗仿宋" w:hAnsi="宋体" w:eastAsia="彩虹粗仿宋"/>
                <w:bCs/>
                <w:sz w:val="22"/>
                <w:lang w:eastAsia="zh-CN"/>
              </w:rPr>
              <w:t>、</w:t>
            </w:r>
            <w:r>
              <w:rPr>
                <w:rFonts w:hint="eastAsia" w:ascii="彩虹粗仿宋" w:hAnsi="宋体" w:eastAsia="彩虹粗仿宋"/>
                <w:bCs/>
                <w:sz w:val="22"/>
              </w:rPr>
              <w:t>激进型（C5）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中低风险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R2</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稳健型（C2）</w:t>
            </w:r>
            <w:r>
              <w:rPr>
                <w:rFonts w:hint="eastAsia" w:ascii="彩虹粗仿宋" w:hAnsi="宋体" w:eastAsia="彩虹粗仿宋"/>
                <w:bCs/>
                <w:sz w:val="22"/>
                <w:lang w:eastAsia="zh-CN"/>
              </w:rPr>
              <w:t>、</w:t>
            </w:r>
            <w:r>
              <w:rPr>
                <w:rFonts w:hint="eastAsia" w:ascii="彩虹粗仿宋" w:hAnsi="宋体" w:eastAsia="彩虹粗仿宋"/>
                <w:bCs/>
                <w:sz w:val="22"/>
              </w:rPr>
              <w:t>平衡型（C3）</w:t>
            </w:r>
            <w:r>
              <w:rPr>
                <w:rFonts w:hint="eastAsia" w:ascii="彩虹粗仿宋" w:hAnsi="宋体" w:eastAsia="彩虹粗仿宋"/>
                <w:bCs/>
                <w:sz w:val="22"/>
                <w:lang w:eastAsia="zh-CN"/>
              </w:rPr>
              <w:t>、</w:t>
            </w:r>
            <w:r>
              <w:rPr>
                <w:rFonts w:hint="eastAsia" w:ascii="彩虹粗仿宋" w:hAnsi="宋体" w:eastAsia="彩虹粗仿宋"/>
                <w:bCs/>
                <w:sz w:val="22"/>
              </w:rPr>
              <w:t>进取型（C4）</w:t>
            </w:r>
            <w:r>
              <w:rPr>
                <w:rFonts w:hint="eastAsia" w:ascii="彩虹粗仿宋" w:hAnsi="宋体" w:eastAsia="彩虹粗仿宋"/>
                <w:bCs/>
                <w:sz w:val="22"/>
                <w:lang w:eastAsia="zh-CN"/>
              </w:rPr>
              <w:t>、</w:t>
            </w:r>
            <w:r>
              <w:rPr>
                <w:rFonts w:hint="eastAsia" w:ascii="彩虹粗仿宋" w:hAnsi="宋体" w:eastAsia="彩虹粗仿宋"/>
                <w:bCs/>
                <w:sz w:val="22"/>
              </w:rPr>
              <w:t>激进型（C5）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中风险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R3</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平衡型（C3）</w:t>
            </w:r>
            <w:r>
              <w:rPr>
                <w:rFonts w:hint="eastAsia" w:ascii="彩虹粗仿宋" w:hAnsi="宋体" w:eastAsia="彩虹粗仿宋"/>
                <w:bCs/>
                <w:sz w:val="22"/>
                <w:lang w:eastAsia="zh-CN"/>
              </w:rPr>
              <w:t>、</w:t>
            </w:r>
            <w:r>
              <w:rPr>
                <w:rFonts w:hint="eastAsia" w:ascii="彩虹粗仿宋" w:hAnsi="宋体" w:eastAsia="彩虹粗仿宋"/>
                <w:bCs/>
                <w:sz w:val="22"/>
              </w:rPr>
              <w:t>进取型（C4）</w:t>
            </w:r>
            <w:r>
              <w:rPr>
                <w:rFonts w:hint="eastAsia" w:ascii="彩虹粗仿宋" w:hAnsi="宋体" w:eastAsia="彩虹粗仿宋"/>
                <w:bCs/>
                <w:sz w:val="22"/>
                <w:lang w:eastAsia="zh-CN"/>
              </w:rPr>
              <w:t>、</w:t>
            </w:r>
            <w:r>
              <w:rPr>
                <w:rFonts w:hint="eastAsia" w:ascii="彩虹粗仿宋" w:hAnsi="宋体" w:eastAsia="彩虹粗仿宋"/>
                <w:bCs/>
                <w:sz w:val="22"/>
              </w:rPr>
              <w:t>激进型（C5）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lang w:val="en-US" w:eastAsia="zh-CN"/>
              </w:rPr>
              <w:t>中</w:t>
            </w:r>
            <w:r>
              <w:rPr>
                <w:rFonts w:hint="eastAsia" w:ascii="彩虹粗仿宋" w:hAnsi="宋体" w:eastAsia="彩虹粗仿宋"/>
                <w:bCs/>
                <w:sz w:val="22"/>
              </w:rPr>
              <w:t>高风险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R4</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进取型（C4）</w:t>
            </w:r>
            <w:r>
              <w:rPr>
                <w:rFonts w:hint="eastAsia" w:ascii="彩虹粗仿宋" w:hAnsi="宋体" w:eastAsia="彩虹粗仿宋"/>
                <w:bCs/>
                <w:sz w:val="22"/>
                <w:lang w:eastAsia="zh-CN"/>
              </w:rPr>
              <w:t>、</w:t>
            </w:r>
            <w:r>
              <w:rPr>
                <w:rFonts w:hint="eastAsia" w:ascii="彩虹粗仿宋" w:hAnsi="宋体" w:eastAsia="彩虹粗仿宋"/>
                <w:bCs/>
                <w:sz w:val="22"/>
              </w:rPr>
              <w:t>激进型（C5）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0" w:hRule="atLeast"/>
          <w:jc w:val="center"/>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高风险</w:t>
            </w:r>
            <w:r>
              <w:rPr>
                <w:rFonts w:hint="eastAsia" w:ascii="彩虹粗仿宋" w:hAnsi="宋体" w:eastAsia="彩虹粗仿宋"/>
                <w:bCs/>
                <w:sz w:val="22"/>
                <w:lang w:eastAsia="zh-CN"/>
              </w:rPr>
              <w:t>（</w:t>
            </w:r>
            <w:r>
              <w:rPr>
                <w:rFonts w:hint="eastAsia" w:ascii="彩虹粗仿宋" w:hAnsi="宋体" w:eastAsia="彩虹粗仿宋"/>
                <w:bCs/>
                <w:sz w:val="22"/>
                <w:lang w:val="en-US" w:eastAsia="zh-CN"/>
              </w:rPr>
              <w:t>R5</w:t>
            </w:r>
            <w:r>
              <w:rPr>
                <w:rFonts w:hint="eastAsia" w:ascii="彩虹粗仿宋" w:hAnsi="宋体" w:eastAsia="彩虹粗仿宋"/>
                <w:bCs/>
                <w:sz w:val="22"/>
              </w:rPr>
              <w:t>）</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彩虹粗仿宋" w:hAnsi="宋体" w:eastAsia="彩虹粗仿宋"/>
                <w:bCs/>
                <w:sz w:val="22"/>
              </w:rPr>
            </w:pPr>
            <w:r>
              <w:rPr>
                <w:rFonts w:hint="eastAsia" w:ascii="彩虹粗仿宋" w:hAnsi="宋体" w:eastAsia="彩虹粗仿宋"/>
                <w:bCs/>
                <w:sz w:val="22"/>
              </w:rPr>
              <w:t>激进型（C5）</w:t>
            </w:r>
          </w:p>
        </w:tc>
      </w:tr>
    </w:tbl>
    <w:p>
      <w:pPr>
        <w:rPr>
          <w:rFonts w:ascii="彩虹粗仿宋" w:eastAsia="彩虹粗仿宋"/>
          <w:sz w:val="22"/>
          <w:szCs w:val="22"/>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highlight w:val="none"/>
        </w:rPr>
      </w:pPr>
      <w:r>
        <w:rPr>
          <w:rFonts w:hint="eastAsia" w:ascii="彩虹粗仿宋" w:hAnsi="宋体" w:eastAsia="彩虹粗仿宋"/>
          <w:sz w:val="32"/>
          <w:szCs w:val="32"/>
        </w:rPr>
        <w:t>3.</w:t>
      </w:r>
      <w:r>
        <w:rPr>
          <w:rFonts w:hint="eastAsia" w:ascii="彩虹粗仿宋" w:hAnsi="宋体" w:eastAsia="彩虹粗仿宋"/>
          <w:sz w:val="32"/>
          <w:szCs w:val="32"/>
          <w:lang w:val="en-US" w:eastAsia="zh-CN"/>
        </w:rPr>
        <w:t>建设银行</w:t>
      </w:r>
      <w:r>
        <w:rPr>
          <w:rFonts w:hint="eastAsia" w:ascii="彩虹粗仿宋" w:hAnsi="宋体" w:eastAsia="彩虹粗仿宋"/>
          <w:sz w:val="32"/>
          <w:szCs w:val="32"/>
        </w:rPr>
        <w:t>将按照对公黄金积存业务协议书约定的方式、渠道和频率披露产品信息，请您仔细阅读。贵单位在签署《中国建设银行对公黄金积存业务协议书》或《中国建设银行对公综合服务协议》前，应当仔细阅读本</w:t>
      </w:r>
      <w:r>
        <w:rPr>
          <w:rFonts w:hint="eastAsia" w:ascii="彩虹粗仿宋" w:hAnsi="宋体" w:eastAsia="彩虹粗仿宋"/>
          <w:sz w:val="32"/>
          <w:szCs w:val="32"/>
          <w:lang w:val="en-US" w:eastAsia="zh-CN"/>
        </w:rPr>
        <w:t>权益须知</w:t>
      </w:r>
      <w:r>
        <w:rPr>
          <w:rFonts w:hint="eastAsia" w:ascii="彩虹粗仿宋" w:hAnsi="宋体" w:eastAsia="彩虹粗仿宋"/>
          <w:sz w:val="32"/>
          <w:szCs w:val="32"/>
        </w:rPr>
        <w:t>，同时向中国建设银行了解本业务的其他相关信息，并独立做出是否办理本业务的决定。本</w:t>
      </w:r>
      <w:r>
        <w:rPr>
          <w:rFonts w:hint="eastAsia" w:ascii="彩虹粗仿宋" w:hAnsi="宋体" w:eastAsia="彩虹粗仿宋"/>
          <w:sz w:val="32"/>
          <w:szCs w:val="32"/>
          <w:lang w:val="en-US" w:eastAsia="zh-CN"/>
        </w:rPr>
        <w:t>权益须知</w:t>
      </w:r>
      <w:r>
        <w:rPr>
          <w:rFonts w:hint="eastAsia" w:ascii="彩虹粗仿宋" w:hAnsi="宋体" w:eastAsia="彩虹粗仿宋"/>
          <w:sz w:val="32"/>
          <w:szCs w:val="32"/>
        </w:rPr>
        <w:t>及相应的业务协议书/对公综合服务协议将共同构成双方合同的有效组成部分，具有同等法律效力。</w:t>
      </w:r>
    </w:p>
    <w:p>
      <w:pPr>
        <w:keepNext w:val="0"/>
        <w:keepLines w:val="0"/>
        <w:pageBreakBefore w:val="0"/>
        <w:widowControl w:val="0"/>
        <w:numPr>
          <w:ilvl w:val="-1"/>
          <w:numId w:val="0"/>
        </w:numPr>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sz w:val="32"/>
          <w:szCs w:val="32"/>
          <w:highlight w:val="none"/>
        </w:rPr>
      </w:pPr>
      <w:r>
        <w:rPr>
          <w:rFonts w:hint="eastAsia" w:ascii="彩虹粗仿宋" w:hAnsi="宋体" w:eastAsia="彩虹粗仿宋"/>
          <w:sz w:val="32"/>
          <w:szCs w:val="32"/>
          <w:highlight w:val="none"/>
          <w:lang w:val="en-US" w:eastAsia="zh-CN"/>
        </w:rPr>
        <w:t>4.</w:t>
      </w:r>
      <w:r>
        <w:rPr>
          <w:rFonts w:hint="eastAsia" w:ascii="彩虹粗仿宋" w:hAnsi="宋体" w:eastAsia="彩虹粗仿宋"/>
          <w:sz w:val="32"/>
          <w:szCs w:val="32"/>
          <w:highlight w:val="none"/>
        </w:rPr>
        <w:t>如采取纸质文本方式签约，本权益须知作为《中国建设银行对公黄金积存业务开户申请书及开户业务办理回执》或《中国建设银行综合签约申请书》不可分割的有效组成部分，与《中国建设银行对公黄金积存业务开户申请书及开户业务办理回执》或《中国建设银行综合签约申请书》具有同等法律效力。本权益须知自客户及中国建设银行法定代表人（负责人）或授权代理人在《中国建设银行对公黄金积存业务开户申请书及开户业务办理回执》或《中国建设银行综合签约申请书》上签字（或盖章）并加盖公章或业务专用章后生效。如客户为个体工商户且未刻制公章的，本</w:t>
      </w:r>
      <w:r>
        <w:rPr>
          <w:rFonts w:hint="eastAsia" w:ascii="彩虹粗仿宋" w:hAnsi="宋体" w:eastAsia="彩虹粗仿宋"/>
          <w:sz w:val="32"/>
          <w:szCs w:val="32"/>
          <w:highlight w:val="none"/>
          <w:lang w:val="en-US" w:eastAsia="zh-CN"/>
        </w:rPr>
        <w:t>权益须知</w:t>
      </w:r>
      <w:r>
        <w:rPr>
          <w:rFonts w:hint="eastAsia" w:ascii="彩虹粗仿宋" w:hAnsi="宋体" w:eastAsia="彩虹粗仿宋"/>
          <w:sz w:val="32"/>
          <w:szCs w:val="32"/>
          <w:highlight w:val="none"/>
        </w:rPr>
        <w:t>自客户及中国建设银行法定代表人（负责人）或授权代理人在《中国建设银行对公黄金积存业务开户申请书及开户业务办理回执》或《中国建设银行综合签约申请书》上签字（或盖章）并加盖公章或业务专用章（如有）后生效。</w:t>
      </w:r>
    </w:p>
    <w:p>
      <w:pPr>
        <w:keepNext w:val="0"/>
        <w:keepLines w:val="0"/>
        <w:pageBreakBefore w:val="0"/>
        <w:widowControl w:val="0"/>
        <w:numPr>
          <w:ilvl w:val="-1"/>
          <w:numId w:val="0"/>
        </w:numPr>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sz w:val="32"/>
          <w:szCs w:val="32"/>
          <w:highlight w:val="none"/>
        </w:rPr>
      </w:pPr>
      <w:r>
        <w:rPr>
          <w:rFonts w:hint="eastAsia" w:ascii="彩虹粗仿宋" w:hAnsi="宋体" w:eastAsia="彩虹粗仿宋"/>
          <w:sz w:val="32"/>
          <w:szCs w:val="32"/>
          <w:highlight w:val="none"/>
        </w:rPr>
        <w:t>如采取柜面无纸化方式签署，本权益须知自客户法定代表人（负责人）或授权代理人在柜外清等设备上阅读本</w:t>
      </w:r>
      <w:r>
        <w:rPr>
          <w:rFonts w:hint="eastAsia" w:ascii="彩虹粗仿宋" w:hAnsi="宋体" w:eastAsia="彩虹粗仿宋"/>
          <w:sz w:val="32"/>
          <w:szCs w:val="32"/>
          <w:highlight w:val="none"/>
          <w:lang w:val="en-US" w:eastAsia="zh-CN"/>
        </w:rPr>
        <w:t>权益须知</w:t>
      </w:r>
      <w:r>
        <w:rPr>
          <w:rFonts w:hint="eastAsia" w:ascii="彩虹粗仿宋" w:hAnsi="宋体" w:eastAsia="彩虹粗仿宋"/>
          <w:sz w:val="32"/>
          <w:szCs w:val="32"/>
          <w:highlight w:val="none"/>
        </w:rPr>
        <w:t>并点击确认（或其他具同等意义的按钮）之后生效，对客户及中国建设银行具有约束力。</w:t>
      </w:r>
    </w:p>
    <w:p>
      <w:pPr>
        <w:keepNext w:val="0"/>
        <w:keepLines w:val="0"/>
        <w:pageBreakBefore w:val="0"/>
        <w:widowControl w:val="0"/>
        <w:numPr>
          <w:ilvl w:val="-1"/>
          <w:numId w:val="0"/>
        </w:numPr>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sz w:val="32"/>
          <w:szCs w:val="32"/>
          <w:highlight w:val="yellow"/>
        </w:rPr>
      </w:pPr>
      <w:r>
        <w:rPr>
          <w:rFonts w:hint="eastAsia" w:ascii="彩虹粗仿宋" w:hAnsi="宋体" w:eastAsia="彩虹粗仿宋"/>
          <w:sz w:val="32"/>
          <w:szCs w:val="32"/>
          <w:highlight w:val="none"/>
        </w:rPr>
        <w:t>如采取电子方式（包括网上银行、“建行惠懂你”APP等渠道）签约，客户须通过前述渠道在线阅读本</w:t>
      </w:r>
      <w:r>
        <w:rPr>
          <w:rFonts w:hint="eastAsia" w:ascii="彩虹粗仿宋" w:hAnsi="宋体" w:eastAsia="彩虹粗仿宋"/>
          <w:sz w:val="32"/>
          <w:szCs w:val="32"/>
          <w:highlight w:val="none"/>
          <w:lang w:val="en-US" w:eastAsia="zh-CN"/>
        </w:rPr>
        <w:t>权益须知</w:t>
      </w:r>
      <w:r>
        <w:rPr>
          <w:rFonts w:hint="eastAsia" w:ascii="彩虹粗仿宋" w:hAnsi="宋体" w:eastAsia="彩虹粗仿宋"/>
          <w:sz w:val="32"/>
          <w:szCs w:val="32"/>
          <w:highlight w:val="none"/>
        </w:rPr>
        <w:t>并勾选“已阅读并同意”（或其他具同等意义的按钮）之后生效，对客户及中国建设银行具有约束力。</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lang w:val="en-US" w:eastAsia="zh-CN"/>
        </w:rPr>
        <w:t>5</w:t>
      </w:r>
      <w:r>
        <w:rPr>
          <w:rFonts w:hint="eastAsia" w:ascii="彩虹粗仿宋" w:hAnsi="宋体" w:eastAsia="彩虹粗仿宋"/>
          <w:sz w:val="32"/>
          <w:szCs w:val="32"/>
        </w:rPr>
        <w:t>.我们的联系方式是：</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中国建设银行网址：www.ccb.com</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投诉及咨询热线：95533</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彩虹粗仿宋" w:hAnsi="宋体" w:eastAsia="彩虹粗仿宋"/>
          <w:b/>
          <w:bCs/>
          <w:sz w:val="32"/>
          <w:szCs w:val="32"/>
        </w:rPr>
      </w:pPr>
      <w:r>
        <w:rPr>
          <w:rFonts w:hint="eastAsia" w:ascii="彩虹粗仿宋" w:hAnsi="宋体" w:eastAsia="彩虹粗仿宋"/>
          <w:b/>
          <w:bCs/>
          <w:sz w:val="32"/>
          <w:szCs w:val="32"/>
          <w:lang w:val="en-US" w:eastAsia="zh-CN"/>
        </w:rPr>
        <w:t>6</w:t>
      </w:r>
      <w:r>
        <w:rPr>
          <w:rFonts w:hint="eastAsia" w:ascii="彩虹粗仿宋" w:hAnsi="宋体" w:eastAsia="彩虹粗仿宋"/>
          <w:b/>
          <w:bCs/>
          <w:sz w:val="32"/>
          <w:szCs w:val="32"/>
        </w:rPr>
        <w:t>．如您对本产品和</w:t>
      </w:r>
      <w:r>
        <w:rPr>
          <w:rFonts w:hint="eastAsia" w:ascii="彩虹粗仿宋" w:hAnsi="宋体" w:eastAsia="彩虹粗仿宋"/>
          <w:b/>
          <w:bCs/>
          <w:sz w:val="32"/>
          <w:szCs w:val="32"/>
          <w:lang w:val="en-US" w:eastAsia="zh-CN"/>
        </w:rPr>
        <w:t>建设银行</w:t>
      </w:r>
      <w:r>
        <w:rPr>
          <w:rFonts w:hint="eastAsia" w:ascii="彩虹粗仿宋" w:hAnsi="宋体" w:eastAsia="彩虹粗仿宋"/>
          <w:b/>
          <w:bCs/>
          <w:sz w:val="32"/>
          <w:szCs w:val="32"/>
        </w:rPr>
        <w:t>服务有任何意见和建议，可通过中国建设银行营业网点工作人员、95533客户服务电话以及互联网网站www.ccb.com进行反映，我们将予以受理。</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彩虹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14253"/>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8E"/>
    <w:rsid w:val="0006369A"/>
    <w:rsid w:val="00082DCE"/>
    <w:rsid w:val="000A12B8"/>
    <w:rsid w:val="000E2D04"/>
    <w:rsid w:val="00160724"/>
    <w:rsid w:val="001E36DD"/>
    <w:rsid w:val="00296FA1"/>
    <w:rsid w:val="002C7234"/>
    <w:rsid w:val="002C7D5D"/>
    <w:rsid w:val="003423E2"/>
    <w:rsid w:val="00357A7C"/>
    <w:rsid w:val="003700DD"/>
    <w:rsid w:val="004B137B"/>
    <w:rsid w:val="004C5DCA"/>
    <w:rsid w:val="00502E99"/>
    <w:rsid w:val="005A64FB"/>
    <w:rsid w:val="005B2A74"/>
    <w:rsid w:val="00602CF4"/>
    <w:rsid w:val="00623840"/>
    <w:rsid w:val="00634DAF"/>
    <w:rsid w:val="00664A30"/>
    <w:rsid w:val="006A6E96"/>
    <w:rsid w:val="00730865"/>
    <w:rsid w:val="008055DC"/>
    <w:rsid w:val="008860C5"/>
    <w:rsid w:val="008C2B4B"/>
    <w:rsid w:val="009608D9"/>
    <w:rsid w:val="00A3729D"/>
    <w:rsid w:val="00AF27E5"/>
    <w:rsid w:val="00B73E58"/>
    <w:rsid w:val="00BE488C"/>
    <w:rsid w:val="00C174EA"/>
    <w:rsid w:val="00C522D4"/>
    <w:rsid w:val="00C801D0"/>
    <w:rsid w:val="00C9436A"/>
    <w:rsid w:val="00C97F8C"/>
    <w:rsid w:val="00CD15F7"/>
    <w:rsid w:val="00CE7B16"/>
    <w:rsid w:val="00D75FF7"/>
    <w:rsid w:val="00DA4538"/>
    <w:rsid w:val="00DF75C5"/>
    <w:rsid w:val="00E20F88"/>
    <w:rsid w:val="00E8188E"/>
    <w:rsid w:val="00F31747"/>
    <w:rsid w:val="00F50D53"/>
    <w:rsid w:val="00F95A1B"/>
    <w:rsid w:val="00FF4852"/>
    <w:rsid w:val="038C661C"/>
    <w:rsid w:val="068078F5"/>
    <w:rsid w:val="0C19429A"/>
    <w:rsid w:val="110B5E38"/>
    <w:rsid w:val="120D05B3"/>
    <w:rsid w:val="15590839"/>
    <w:rsid w:val="16626EEB"/>
    <w:rsid w:val="1C60696D"/>
    <w:rsid w:val="21223E7F"/>
    <w:rsid w:val="216313AB"/>
    <w:rsid w:val="25813BCE"/>
    <w:rsid w:val="305304FE"/>
    <w:rsid w:val="3577068E"/>
    <w:rsid w:val="370464D9"/>
    <w:rsid w:val="384D6F60"/>
    <w:rsid w:val="38CB40B4"/>
    <w:rsid w:val="3F0001DF"/>
    <w:rsid w:val="413B682F"/>
    <w:rsid w:val="43160F06"/>
    <w:rsid w:val="568359AE"/>
    <w:rsid w:val="5859351C"/>
    <w:rsid w:val="5D6A1B08"/>
    <w:rsid w:val="624B12F8"/>
    <w:rsid w:val="63297EE1"/>
    <w:rsid w:val="67FF1F4C"/>
    <w:rsid w:val="689C3426"/>
    <w:rsid w:val="712016D7"/>
    <w:rsid w:val="763E0B85"/>
    <w:rsid w:val="77576B64"/>
    <w:rsid w:val="7A0D4790"/>
    <w:rsid w:val="7C210A89"/>
    <w:rsid w:val="7F93070D"/>
    <w:rsid w:val="7FF8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ccb.com</Company>
  <Pages>2</Pages>
  <Words>136</Words>
  <Characters>779</Characters>
  <Lines>6</Lines>
  <Paragraphs>1</Paragraphs>
  <TotalTime>15</TotalTime>
  <ScaleCrop>false</ScaleCrop>
  <LinksUpToDate>false</LinksUpToDate>
  <CharactersWithSpaces>914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2024-08-21T07:14:00Z</dcterms:created>
  <dc:creator>刘凯</dc:creator>
  <cp:lastModifiedBy>CCB</cp:lastModifiedBy>
  <dcterms:modified xsi:type="dcterms:W3CDTF">2026-04-30T02:17:58Z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D62D989B597346FD99256040F74FFC93_12</vt:lpwstr>
  </property>
</Properties>
</file>