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ED8" w:rsidRPr="00644ED8" w:rsidRDefault="00644ED8" w:rsidP="00644ED8">
      <w:pPr>
        <w:shd w:val="clear" w:color="auto" w:fill="FFFFFF"/>
        <w:spacing w:after="0" w:line="240" w:lineRule="auto"/>
        <w:rPr>
          <w:rFonts w:eastAsia="Microsoft YaHei" w:cs="Arial"/>
          <w:color w:val="000000"/>
        </w:rPr>
      </w:pPr>
      <w:r w:rsidRPr="00644ED8">
        <w:rPr>
          <w:rFonts w:eastAsia="Microsoft YaHei" w:cs="Arial"/>
          <w:color w:val="000000"/>
        </w:rPr>
        <w:t xml:space="preserve">China Construction Bank Corporation, headquartered in Beijing, is a leading large-scale joint stock commercial bank in China. Its predecessor China Construction Bank </w:t>
      </w:r>
      <w:proofErr w:type="gramStart"/>
      <w:r w:rsidRPr="00644ED8">
        <w:rPr>
          <w:rFonts w:eastAsia="Microsoft YaHei" w:cs="Arial"/>
          <w:color w:val="000000"/>
        </w:rPr>
        <w:t>was established</w:t>
      </w:r>
      <w:proofErr w:type="gramEnd"/>
      <w:r w:rsidRPr="00644ED8">
        <w:rPr>
          <w:rFonts w:eastAsia="Microsoft YaHei" w:cs="Arial"/>
          <w:color w:val="000000"/>
        </w:rPr>
        <w:t xml:space="preserve"> in October 1954. It was listed on Hong Kong Stock Exchange in October 2005 (stock code: 939) and the Shanghai Stock Exchange in September 2007 (stock code: 601939). At the end of 2021, the Banks market capitalization reached US$175,302 million, ranking sixth among all listed banks in the world. In terms of tier 1 capital, the Group ranked second in the </w:t>
      </w:r>
      <w:proofErr w:type="gramStart"/>
      <w:r w:rsidRPr="00644ED8">
        <w:rPr>
          <w:rFonts w:eastAsia="Microsoft YaHei" w:cs="Arial"/>
          <w:color w:val="000000"/>
        </w:rPr>
        <w:t>World'​ s</w:t>
      </w:r>
      <w:proofErr w:type="gramEnd"/>
      <w:r w:rsidRPr="00644ED8">
        <w:rPr>
          <w:rFonts w:eastAsia="Microsoft YaHei" w:cs="Arial"/>
          <w:color w:val="000000"/>
        </w:rPr>
        <w:t xml:space="preserve"> Top 1000 Banks by the UK magazine The Banker in 2021.</w:t>
      </w:r>
    </w:p>
    <w:p w:rsidR="00644ED8" w:rsidRPr="00644ED8" w:rsidRDefault="00644ED8" w:rsidP="00644ED8">
      <w:pPr>
        <w:shd w:val="clear" w:color="auto" w:fill="FFFFFF"/>
        <w:spacing w:after="0" w:line="240" w:lineRule="auto"/>
        <w:rPr>
          <w:rFonts w:eastAsia="Microsoft YaHei" w:cs="Arial"/>
          <w:color w:val="000000"/>
        </w:rPr>
      </w:pPr>
      <w:r w:rsidRPr="00644ED8">
        <w:rPr>
          <w:rFonts w:eastAsia="Microsoft YaHei" w:cs="Arial"/>
          <w:color w:val="000000"/>
        </w:rPr>
        <w:t>With 14,510 banking outlets and 351,252 staff members, the Bank provides services to hundreds of millions of personal and corporate customers, and maintains close cooperation with leading enterprises in strategic industries in the Chinese economy and numerous high-end customers. The Bank has commercial banking branches and subsidiaries in 31 countries and regions, and its subsidiaries cover various industries, including asset management, financial leasing, trust, life insurance, property &amp; casualty insurance, investment banking, futures and pension.</w:t>
      </w:r>
    </w:p>
    <w:p w:rsidR="00644ED8" w:rsidRPr="00644ED8" w:rsidRDefault="00644ED8" w:rsidP="00644ED8">
      <w:pPr>
        <w:shd w:val="clear" w:color="auto" w:fill="FFFFFF"/>
        <w:spacing w:after="0" w:line="240" w:lineRule="auto"/>
        <w:rPr>
          <w:rFonts w:eastAsia="Microsoft YaHei" w:cs="Arial"/>
          <w:color w:val="000000"/>
        </w:rPr>
      </w:pPr>
      <w:r w:rsidRPr="00644ED8">
        <w:rPr>
          <w:rFonts w:eastAsia="Microsoft YaHei" w:cs="Arial"/>
          <w:color w:val="000000"/>
        </w:rPr>
        <w:t xml:space="preserve">Adhering to </w:t>
      </w:r>
      <w:proofErr w:type="spellStart"/>
      <w:r w:rsidRPr="00644ED8">
        <w:rPr>
          <w:rFonts w:eastAsia="Microsoft YaHei" w:cs="Arial"/>
          <w:color w:val="000000"/>
        </w:rPr>
        <w:t>the“customer</w:t>
      </w:r>
      <w:proofErr w:type="spellEnd"/>
      <w:r w:rsidRPr="00644ED8">
        <w:rPr>
          <w:rFonts w:eastAsia="Microsoft YaHei" w:cs="Arial"/>
          <w:color w:val="000000"/>
        </w:rPr>
        <w:t>-centric, market-</w:t>
      </w:r>
      <w:proofErr w:type="spellStart"/>
      <w:r w:rsidRPr="00644ED8">
        <w:rPr>
          <w:rFonts w:eastAsia="Microsoft YaHei" w:cs="Arial"/>
          <w:color w:val="000000"/>
        </w:rPr>
        <w:t>oriented”business</w:t>
      </w:r>
      <w:proofErr w:type="spellEnd"/>
      <w:r w:rsidRPr="00644ED8">
        <w:rPr>
          <w:rFonts w:eastAsia="Microsoft YaHei" w:cs="Arial"/>
          <w:color w:val="000000"/>
        </w:rPr>
        <w:t xml:space="preserve"> philosophy, the Bank is committed to developing itself into a bank with top value creation capability. The Bank strives to achieve the balance between short-term and long-term benefits, and between business goals and social responsibilities, </w:t>
      </w:r>
      <w:proofErr w:type="gramStart"/>
      <w:r w:rsidRPr="00644ED8">
        <w:rPr>
          <w:rFonts w:eastAsia="Microsoft YaHei" w:cs="Arial"/>
          <w:color w:val="000000"/>
        </w:rPr>
        <w:t>so as to</w:t>
      </w:r>
      <w:proofErr w:type="gramEnd"/>
      <w:r w:rsidRPr="00644ED8">
        <w:rPr>
          <w:rFonts w:eastAsia="Microsoft YaHei" w:cs="Arial"/>
          <w:color w:val="000000"/>
        </w:rPr>
        <w:t xml:space="preserve"> maximize the value for customers, shareholders, society and its associates.</w:t>
      </w:r>
    </w:p>
    <w:p w:rsidR="00644ED8" w:rsidRPr="00644ED8" w:rsidRDefault="00644ED8" w:rsidP="00644ED8">
      <w:pPr>
        <w:shd w:val="clear" w:color="auto" w:fill="FFFFFF"/>
        <w:spacing w:after="0" w:line="240" w:lineRule="auto"/>
        <w:rPr>
          <w:rFonts w:eastAsia="Microsoft YaHei" w:cs="Arial"/>
          <w:color w:val="000000"/>
        </w:rPr>
      </w:pPr>
      <w:r w:rsidRPr="00644ED8">
        <w:rPr>
          <w:rFonts w:eastAsia="Microsoft YaHei" w:cs="Arial"/>
          <w:color w:val="000000"/>
        </w:rPr>
        <w:t xml:space="preserve">China Construction Bank Frankfurt Branch </w:t>
      </w:r>
      <w:proofErr w:type="gramStart"/>
      <w:r w:rsidRPr="00644ED8">
        <w:rPr>
          <w:rFonts w:eastAsia="Microsoft YaHei" w:cs="Arial"/>
          <w:color w:val="000000"/>
        </w:rPr>
        <w:t>was set up</w:t>
      </w:r>
      <w:proofErr w:type="gramEnd"/>
      <w:r w:rsidRPr="00644ED8">
        <w:rPr>
          <w:rFonts w:eastAsia="Microsoft YaHei" w:cs="Arial"/>
          <w:color w:val="000000"/>
        </w:rPr>
        <w:t xml:space="preserve"> in September 1999.The Branch is the first CCB branch established in the European market. Holding a full banking license, the Branch provides banking services including Euro clearing, commercial loan and deposit, international settlement, trade finance, FX services, CNY cross-border services.</w:t>
      </w:r>
      <w:bookmarkStart w:id="0" w:name="_GoBack"/>
      <w:bookmarkEnd w:id="0"/>
      <w:r w:rsidRPr="00644ED8">
        <w:rPr>
          <w:rFonts w:eastAsia="Microsoft YaHei" w:cs="Arial"/>
          <w:color w:val="000000"/>
        </w:rPr>
        <w:t xml:space="preserve"> With CCB’s global financial service network, the Branch could provide comprehensive banking services to European and Chinese customers. </w:t>
      </w:r>
    </w:p>
    <w:p w:rsidR="00644ED8" w:rsidRPr="00644ED8" w:rsidRDefault="00644ED8" w:rsidP="00644ED8">
      <w:pPr>
        <w:shd w:val="clear" w:color="auto" w:fill="FFFFFF"/>
        <w:spacing w:after="0" w:line="240" w:lineRule="auto"/>
        <w:rPr>
          <w:rFonts w:ascii="Helvetica" w:eastAsia="Times New Roman" w:hAnsi="Helvetica" w:cs="Helvetica"/>
          <w:sz w:val="20"/>
          <w:szCs w:val="24"/>
        </w:rPr>
      </w:pPr>
    </w:p>
    <w:p w:rsidR="00644ED8" w:rsidRPr="00644ED8" w:rsidRDefault="00644ED8" w:rsidP="00644ED8">
      <w:pPr>
        <w:shd w:val="clear" w:color="auto" w:fill="FFFFFF"/>
        <w:spacing w:after="0" w:line="240" w:lineRule="auto"/>
        <w:rPr>
          <w:rFonts w:ascii="Helvetica" w:eastAsia="Times New Roman" w:hAnsi="Helvetica" w:cs="Helvetica"/>
          <w:sz w:val="20"/>
          <w:szCs w:val="24"/>
        </w:rPr>
      </w:pPr>
      <w:r w:rsidRPr="00644ED8">
        <w:rPr>
          <w:rFonts w:ascii="Helvetica" w:eastAsia="Times New Roman" w:hAnsi="Helvetica" w:cs="Helvetica"/>
          <w:sz w:val="20"/>
          <w:szCs w:val="24"/>
        </w:rPr>
        <w:t>We are looking to fill the following position as soon as possible:</w:t>
      </w:r>
    </w:p>
    <w:p w:rsidR="00644ED8" w:rsidRDefault="00644ED8" w:rsidP="00BC6F13">
      <w:pPr>
        <w:autoSpaceDE w:val="0"/>
        <w:autoSpaceDN w:val="0"/>
        <w:adjustRightInd w:val="0"/>
        <w:rPr>
          <w:rFonts w:eastAsia="Microsoft YaHei" w:cs="Arial"/>
          <w:b/>
          <w:iCs/>
          <w:color w:val="000000"/>
        </w:rPr>
      </w:pPr>
    </w:p>
    <w:p w:rsidR="00BC6F13" w:rsidRPr="00BC6F13" w:rsidRDefault="00BC6F13" w:rsidP="00BC6F13">
      <w:pPr>
        <w:autoSpaceDE w:val="0"/>
        <w:autoSpaceDN w:val="0"/>
        <w:adjustRightInd w:val="0"/>
        <w:rPr>
          <w:rFonts w:eastAsia="Microsoft YaHei" w:cs="Arial"/>
          <w:bCs/>
          <w:color w:val="000000"/>
          <w:lang w:val="en-GB"/>
        </w:rPr>
      </w:pPr>
      <w:r w:rsidRPr="00B044D6">
        <w:rPr>
          <w:rFonts w:eastAsia="Microsoft YaHei" w:cs="Arial"/>
          <w:b/>
          <w:iCs/>
          <w:color w:val="000000"/>
          <w:lang w:val="en-GB"/>
        </w:rPr>
        <w:t xml:space="preserve">Job Title: </w:t>
      </w:r>
      <w:r>
        <w:rPr>
          <w:rFonts w:eastAsia="Microsoft YaHei" w:cs="Arial"/>
          <w:bCs/>
          <w:color w:val="000000"/>
          <w:lang w:val="en-GB"/>
        </w:rPr>
        <w:t xml:space="preserve">Risk </w:t>
      </w:r>
      <w:r w:rsidR="00644ED8">
        <w:rPr>
          <w:rFonts w:eastAsia="Microsoft YaHei" w:cs="Arial"/>
          <w:bCs/>
          <w:color w:val="000000"/>
          <w:lang w:val="en-GB"/>
        </w:rPr>
        <w:t>Manager</w:t>
      </w:r>
      <w:r w:rsidR="00101852">
        <w:rPr>
          <w:rFonts w:eastAsia="Microsoft YaHei" w:cs="Arial"/>
          <w:bCs/>
          <w:color w:val="000000"/>
          <w:lang w:val="en-GB"/>
        </w:rPr>
        <w:t xml:space="preserve"> </w:t>
      </w:r>
      <w:r w:rsidR="00101852">
        <w:rPr>
          <w:rFonts w:ascii="Verdana" w:hAnsi="Verdana"/>
          <w:color w:val="404040"/>
          <w:sz w:val="20"/>
          <w:szCs w:val="20"/>
        </w:rPr>
        <w:t>(m/f/d) in full-time</w:t>
      </w:r>
      <w:r w:rsidRPr="00B044D6">
        <w:rPr>
          <w:rFonts w:eastAsia="Microsoft YaHei" w:cs="Arial"/>
          <w:bCs/>
          <w:color w:val="000000"/>
        </w:rPr>
        <w:t xml:space="preserve">, </w:t>
      </w:r>
      <w:r>
        <w:rPr>
          <w:rFonts w:eastAsia="Microsoft YaHei" w:cs="Arial"/>
          <w:bCs/>
          <w:color w:val="000000"/>
        </w:rPr>
        <w:t>Risk Management</w:t>
      </w:r>
      <w:r w:rsidRPr="00B044D6">
        <w:rPr>
          <w:rFonts w:eastAsia="Microsoft YaHei" w:cs="Arial"/>
          <w:bCs/>
          <w:color w:val="000000"/>
        </w:rPr>
        <w:t xml:space="preserve"> Department</w:t>
      </w:r>
    </w:p>
    <w:p w:rsidR="00AC68DC" w:rsidRPr="00101852" w:rsidRDefault="004A3682" w:rsidP="00101852">
      <w:pPr>
        <w:autoSpaceDE w:val="0"/>
        <w:autoSpaceDN w:val="0"/>
        <w:adjustRightInd w:val="0"/>
        <w:rPr>
          <w:rFonts w:eastAsia="Microsoft YaHei" w:cs="Arial"/>
          <w:bCs/>
          <w:color w:val="000000"/>
        </w:rPr>
      </w:pPr>
      <w:r>
        <w:rPr>
          <w:rFonts w:eastAsia="Microsoft YaHei" w:cs="Arial"/>
          <w:b/>
          <w:iCs/>
          <w:color w:val="000000"/>
          <w:lang w:val="en-GB"/>
        </w:rPr>
        <w:t>Location</w:t>
      </w:r>
      <w:r w:rsidR="00BC6F13" w:rsidRPr="00B044D6">
        <w:rPr>
          <w:rFonts w:eastAsia="Microsoft YaHei" w:cs="Arial"/>
          <w:b/>
          <w:iCs/>
          <w:color w:val="000000"/>
          <w:lang w:val="en-GB"/>
        </w:rPr>
        <w:t>:</w:t>
      </w:r>
      <w:r w:rsidR="00BC6F13" w:rsidRPr="00B044D6">
        <w:rPr>
          <w:rFonts w:eastAsia="Microsoft YaHei" w:cs="Arial"/>
          <w:bCs/>
          <w:color w:val="000000"/>
        </w:rPr>
        <w:t xml:space="preserve"> </w:t>
      </w:r>
      <w:r w:rsidR="00BC6F13" w:rsidRPr="00B044D6">
        <w:rPr>
          <w:lang w:eastAsia="en-US"/>
        </w:rPr>
        <w:t>Frankfurt am Main, Germany</w:t>
      </w:r>
    </w:p>
    <w:p w:rsidR="00BA1F0F" w:rsidRPr="00152011" w:rsidRDefault="00BA1F0F" w:rsidP="00BA1F0F">
      <w:pPr>
        <w:autoSpaceDE w:val="0"/>
        <w:autoSpaceDN w:val="0"/>
        <w:adjustRightInd w:val="0"/>
        <w:spacing w:after="0" w:line="240" w:lineRule="auto"/>
        <w:rPr>
          <w:rFonts w:eastAsia="Microsoft YaHei" w:cs="Calibri"/>
          <w:b/>
          <w:color w:val="000000"/>
        </w:rPr>
      </w:pPr>
      <w:r w:rsidRPr="00152011">
        <w:rPr>
          <w:rFonts w:eastAsia="Microsoft YaHei" w:cs="Calibri"/>
          <w:b/>
          <w:bCs/>
          <w:color w:val="000000"/>
        </w:rPr>
        <w:t xml:space="preserve">Duties and responsibilities </w:t>
      </w:r>
    </w:p>
    <w:p w:rsidR="00BC6F13" w:rsidRPr="00BC6F13" w:rsidRDefault="00BC6F13" w:rsidP="00C85077">
      <w:pPr>
        <w:spacing w:after="0" w:line="240" w:lineRule="auto"/>
        <w:ind w:right="-7"/>
        <w:rPr>
          <w:rFonts w:eastAsiaTheme="minorHAnsi"/>
          <w:lang w:eastAsia="en-US"/>
        </w:rPr>
      </w:pPr>
    </w:p>
    <w:p w:rsidR="009C2305" w:rsidRPr="00BC6F13"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8D10F4" w:rsidRPr="00BC6F13">
        <w:rPr>
          <w:rFonts w:asciiTheme="minorHAnsi" w:eastAsia="Microsoft YaHei" w:hAnsiTheme="minorHAnsi" w:cs="Arial"/>
          <w:color w:val="000000"/>
          <w:sz w:val="22"/>
          <w:szCs w:val="22"/>
          <w:lang w:eastAsia="zh-CN"/>
        </w:rPr>
        <w:t>P</w:t>
      </w:r>
      <w:r w:rsidR="009C2305" w:rsidRPr="00BC6F13">
        <w:rPr>
          <w:rFonts w:asciiTheme="minorHAnsi" w:eastAsia="Microsoft YaHei" w:hAnsiTheme="minorHAnsi" w:cs="Arial"/>
          <w:color w:val="000000"/>
          <w:sz w:val="22"/>
          <w:szCs w:val="22"/>
          <w:lang w:eastAsia="zh-CN"/>
        </w:rPr>
        <w:t xml:space="preserve">lanning, designing and implementing an overall risk management </w:t>
      </w:r>
      <w:r w:rsidR="00801D4A" w:rsidRPr="00BC6F13">
        <w:rPr>
          <w:rFonts w:asciiTheme="minorHAnsi" w:eastAsia="Microsoft YaHei" w:hAnsiTheme="minorHAnsi" w:cs="Arial"/>
          <w:color w:val="000000"/>
          <w:sz w:val="22"/>
          <w:szCs w:val="22"/>
          <w:lang w:eastAsia="zh-CN"/>
        </w:rPr>
        <w:t xml:space="preserve">and suitable risk controlling </w:t>
      </w:r>
      <w:r w:rsidR="009C2305" w:rsidRPr="00BC6F13">
        <w:rPr>
          <w:rFonts w:asciiTheme="minorHAnsi" w:eastAsia="Microsoft YaHei" w:hAnsiTheme="minorHAnsi" w:cs="Arial"/>
          <w:color w:val="000000"/>
          <w:sz w:val="22"/>
          <w:szCs w:val="22"/>
          <w:lang w:eastAsia="zh-CN"/>
        </w:rPr>
        <w:t>process</w:t>
      </w:r>
      <w:r>
        <w:rPr>
          <w:rFonts w:asciiTheme="minorHAnsi" w:eastAsia="Microsoft YaHei" w:hAnsiTheme="minorHAnsi" w:cs="Arial"/>
          <w:color w:val="000000"/>
          <w:sz w:val="22"/>
          <w:szCs w:val="22"/>
          <w:lang w:eastAsia="zh-CN"/>
        </w:rPr>
        <w:t>;</w:t>
      </w:r>
    </w:p>
    <w:p w:rsidR="00801D4A" w:rsidRPr="00BC6F13"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801D4A" w:rsidRPr="00BC6F13">
        <w:rPr>
          <w:rFonts w:asciiTheme="minorHAnsi" w:eastAsia="Microsoft YaHei" w:hAnsiTheme="minorHAnsi" w:cs="Arial"/>
          <w:color w:val="000000"/>
          <w:sz w:val="22"/>
          <w:szCs w:val="22"/>
          <w:lang w:eastAsia="zh-CN"/>
        </w:rPr>
        <w:t>Review of appropriateness of the methods and procedures of the ICAAP</w:t>
      </w:r>
      <w:r>
        <w:rPr>
          <w:rFonts w:asciiTheme="minorHAnsi" w:eastAsia="Microsoft YaHei" w:hAnsiTheme="minorHAnsi" w:cs="Arial"/>
          <w:color w:val="000000"/>
          <w:sz w:val="22"/>
          <w:szCs w:val="22"/>
          <w:lang w:eastAsia="zh-CN"/>
        </w:rPr>
        <w:t>;</w:t>
      </w:r>
      <w:r w:rsidR="00801D4A" w:rsidRPr="00BC6F13">
        <w:rPr>
          <w:rFonts w:asciiTheme="minorHAnsi" w:eastAsia="Microsoft YaHei" w:hAnsiTheme="minorHAnsi" w:cs="Arial"/>
          <w:color w:val="000000"/>
          <w:sz w:val="22"/>
          <w:szCs w:val="22"/>
          <w:lang w:eastAsia="zh-CN"/>
        </w:rPr>
        <w:t xml:space="preserve"> </w:t>
      </w:r>
    </w:p>
    <w:p w:rsidR="00801D4A" w:rsidRPr="00BC6F13"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73251B" w:rsidRPr="00BC6F13">
        <w:rPr>
          <w:rFonts w:asciiTheme="minorHAnsi" w:eastAsia="Microsoft YaHei" w:hAnsiTheme="minorHAnsi" w:cs="Arial"/>
          <w:color w:val="000000"/>
          <w:sz w:val="22"/>
          <w:szCs w:val="22"/>
          <w:lang w:eastAsia="zh-CN"/>
        </w:rPr>
        <w:t>Determination of</w:t>
      </w:r>
      <w:r w:rsidR="00801D4A" w:rsidRPr="00BC6F13">
        <w:rPr>
          <w:rFonts w:asciiTheme="minorHAnsi" w:eastAsia="Microsoft YaHei" w:hAnsiTheme="minorHAnsi" w:cs="Arial"/>
          <w:color w:val="000000"/>
          <w:sz w:val="22"/>
          <w:szCs w:val="22"/>
          <w:lang w:eastAsia="zh-CN"/>
        </w:rPr>
        <w:t xml:space="preserve"> indicators for the early </w:t>
      </w:r>
      <w:r w:rsidR="0073251B" w:rsidRPr="00BC6F13">
        <w:rPr>
          <w:rFonts w:asciiTheme="minorHAnsi" w:eastAsia="Microsoft YaHei" w:hAnsiTheme="minorHAnsi" w:cs="Arial"/>
          <w:color w:val="000000"/>
          <w:sz w:val="22"/>
          <w:szCs w:val="22"/>
          <w:lang w:eastAsia="zh-CN"/>
        </w:rPr>
        <w:t>detection based on quantitative and</w:t>
      </w:r>
      <w:r w:rsidR="00801D4A" w:rsidRPr="00BC6F13">
        <w:rPr>
          <w:rFonts w:asciiTheme="minorHAnsi" w:eastAsia="Microsoft YaHei" w:hAnsiTheme="minorHAnsi" w:cs="Arial"/>
          <w:color w:val="000000"/>
          <w:sz w:val="22"/>
          <w:szCs w:val="22"/>
          <w:lang w:eastAsia="zh-CN"/>
        </w:rPr>
        <w:t xml:space="preserve"> qualitative risk features</w:t>
      </w:r>
      <w:r>
        <w:rPr>
          <w:rFonts w:asciiTheme="minorHAnsi" w:eastAsia="Microsoft YaHei" w:hAnsiTheme="minorHAnsi" w:cs="Arial"/>
          <w:color w:val="000000"/>
          <w:sz w:val="22"/>
          <w:szCs w:val="22"/>
          <w:lang w:eastAsia="zh-CN"/>
        </w:rPr>
        <w:t>;</w:t>
      </w:r>
    </w:p>
    <w:p w:rsidR="00F25E74" w:rsidRPr="00BC6F13" w:rsidRDefault="00BA1F0F" w:rsidP="00C85077">
      <w:pPr>
        <w:pStyle w:val="BodyText"/>
        <w:tabs>
          <w:tab w:val="left" w:pos="1807"/>
        </w:tabs>
        <w:spacing w:line="360" w:lineRule="auto"/>
        <w:ind w:left="142" w:right="-858" w:hanging="142"/>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672AD5" w:rsidRPr="00BC6F13">
        <w:rPr>
          <w:rFonts w:asciiTheme="minorHAnsi" w:eastAsia="Microsoft YaHei" w:hAnsiTheme="minorHAnsi" w:cs="Arial"/>
          <w:color w:val="000000"/>
          <w:sz w:val="22"/>
          <w:szCs w:val="22"/>
          <w:lang w:eastAsia="zh-CN"/>
        </w:rPr>
        <w:t>Preparation of quarterly risk report containing the main structural features of credit business and other requirement</w:t>
      </w:r>
      <w:r w:rsidR="00916533">
        <w:rPr>
          <w:rFonts w:asciiTheme="minorHAnsi" w:eastAsia="Microsoft YaHei" w:hAnsiTheme="minorHAnsi" w:cs="Arial"/>
          <w:color w:val="000000"/>
          <w:sz w:val="22"/>
          <w:szCs w:val="22"/>
          <w:lang w:eastAsia="zh-CN"/>
        </w:rPr>
        <w:t>s</w:t>
      </w:r>
      <w:r w:rsidR="00672AD5" w:rsidRPr="00BC6F13">
        <w:rPr>
          <w:rFonts w:asciiTheme="minorHAnsi" w:eastAsia="Microsoft YaHei" w:hAnsiTheme="minorHAnsi" w:cs="Arial"/>
          <w:color w:val="000000"/>
          <w:sz w:val="22"/>
          <w:szCs w:val="22"/>
          <w:lang w:eastAsia="zh-CN"/>
        </w:rPr>
        <w:t xml:space="preserve"> </w:t>
      </w:r>
      <w:r w:rsidR="00801D4A" w:rsidRPr="00BC6F13">
        <w:rPr>
          <w:rFonts w:asciiTheme="minorHAnsi" w:eastAsia="Microsoft YaHei" w:hAnsiTheme="minorHAnsi" w:cs="Arial"/>
          <w:color w:val="000000"/>
          <w:sz w:val="22"/>
          <w:szCs w:val="22"/>
          <w:lang w:eastAsia="zh-CN"/>
        </w:rPr>
        <w:t xml:space="preserve">according to the </w:t>
      </w:r>
      <w:proofErr w:type="spellStart"/>
      <w:r w:rsidR="00801D4A" w:rsidRPr="00BC6F13">
        <w:rPr>
          <w:rFonts w:asciiTheme="minorHAnsi" w:eastAsia="Microsoft YaHei" w:hAnsiTheme="minorHAnsi" w:cs="Arial"/>
          <w:color w:val="000000"/>
          <w:sz w:val="22"/>
          <w:szCs w:val="22"/>
          <w:lang w:eastAsia="zh-CN"/>
        </w:rPr>
        <w:t>MaRisk</w:t>
      </w:r>
      <w:proofErr w:type="spellEnd"/>
      <w:r>
        <w:rPr>
          <w:rFonts w:asciiTheme="minorHAnsi" w:eastAsia="Microsoft YaHei" w:hAnsiTheme="minorHAnsi" w:cs="Arial"/>
          <w:color w:val="000000"/>
          <w:sz w:val="22"/>
          <w:szCs w:val="22"/>
          <w:lang w:eastAsia="zh-CN"/>
        </w:rPr>
        <w:t>;</w:t>
      </w:r>
    </w:p>
    <w:p w:rsidR="00F25E74" w:rsidRPr="00BC6F13" w:rsidRDefault="00BA1F0F" w:rsidP="00C85077">
      <w:pPr>
        <w:pStyle w:val="BodyText"/>
        <w:tabs>
          <w:tab w:val="left" w:pos="1807"/>
        </w:tabs>
        <w:spacing w:line="360" w:lineRule="auto"/>
        <w:ind w:left="142" w:right="-858" w:hanging="142"/>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F25E74" w:rsidRPr="00BC6F13">
        <w:rPr>
          <w:rFonts w:asciiTheme="minorHAnsi" w:eastAsia="Microsoft YaHei" w:hAnsiTheme="minorHAnsi" w:cs="Arial"/>
          <w:color w:val="000000"/>
          <w:sz w:val="22"/>
          <w:szCs w:val="22"/>
          <w:lang w:eastAsia="zh-CN"/>
        </w:rPr>
        <w:t>Ensure that the risks and associated risk concentration are effectively limited and monitored, taking internal capi</w:t>
      </w:r>
      <w:r w:rsidR="0073251B" w:rsidRPr="00BC6F13">
        <w:rPr>
          <w:rFonts w:asciiTheme="minorHAnsi" w:eastAsia="Microsoft YaHei" w:hAnsiTheme="minorHAnsi" w:cs="Arial"/>
          <w:color w:val="000000"/>
          <w:sz w:val="22"/>
          <w:szCs w:val="22"/>
          <w:lang w:eastAsia="zh-CN"/>
        </w:rPr>
        <w:t xml:space="preserve">tal adequacy and risk tolerance </w:t>
      </w:r>
      <w:r>
        <w:rPr>
          <w:rFonts w:asciiTheme="minorHAnsi" w:eastAsia="Microsoft YaHei" w:hAnsiTheme="minorHAnsi" w:cs="Arial"/>
          <w:color w:val="000000"/>
          <w:sz w:val="22"/>
          <w:szCs w:val="22"/>
          <w:lang w:eastAsia="zh-CN"/>
        </w:rPr>
        <w:t>into account;</w:t>
      </w:r>
    </w:p>
    <w:p w:rsidR="00F25E74" w:rsidRPr="00BC6F13"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73251B" w:rsidRPr="00BC6F13">
        <w:rPr>
          <w:rFonts w:asciiTheme="minorHAnsi" w:eastAsia="Microsoft YaHei" w:hAnsiTheme="minorHAnsi" w:cs="Arial"/>
          <w:color w:val="000000"/>
          <w:sz w:val="22"/>
          <w:szCs w:val="22"/>
          <w:lang w:eastAsia="zh-CN"/>
        </w:rPr>
        <w:t>Carry out</w:t>
      </w:r>
      <w:r w:rsidR="00F25E74" w:rsidRPr="00BC6F13">
        <w:rPr>
          <w:rFonts w:asciiTheme="minorHAnsi" w:eastAsia="Microsoft YaHei" w:hAnsiTheme="minorHAnsi" w:cs="Arial"/>
          <w:color w:val="000000"/>
          <w:sz w:val="22"/>
          <w:szCs w:val="22"/>
          <w:lang w:eastAsia="zh-CN"/>
        </w:rPr>
        <w:t xml:space="preserve"> regular and ad hoc stress tests </w:t>
      </w:r>
      <w:r w:rsidR="0073251B" w:rsidRPr="00BC6F13">
        <w:rPr>
          <w:rFonts w:asciiTheme="minorHAnsi" w:eastAsia="Microsoft YaHei" w:hAnsiTheme="minorHAnsi" w:cs="Arial"/>
          <w:color w:val="000000"/>
          <w:sz w:val="22"/>
          <w:szCs w:val="22"/>
          <w:lang w:eastAsia="zh-CN"/>
        </w:rPr>
        <w:t>with respect to</w:t>
      </w:r>
      <w:r w:rsidR="00F25E74" w:rsidRPr="00BC6F13">
        <w:rPr>
          <w:rFonts w:asciiTheme="minorHAnsi" w:eastAsia="Microsoft YaHei" w:hAnsiTheme="minorHAnsi" w:cs="Arial"/>
          <w:color w:val="000000"/>
          <w:sz w:val="22"/>
          <w:szCs w:val="22"/>
          <w:lang w:eastAsia="zh-CN"/>
        </w:rPr>
        <w:t xml:space="preserve"> material risks </w:t>
      </w:r>
      <w:r w:rsidR="0073251B" w:rsidRPr="00BC6F13">
        <w:rPr>
          <w:rFonts w:asciiTheme="minorHAnsi" w:eastAsia="Microsoft YaHei" w:hAnsiTheme="minorHAnsi" w:cs="Arial"/>
          <w:color w:val="000000"/>
          <w:sz w:val="22"/>
          <w:szCs w:val="22"/>
          <w:lang w:eastAsia="zh-CN"/>
        </w:rPr>
        <w:t>in a proper manner</w:t>
      </w:r>
      <w:r>
        <w:rPr>
          <w:rFonts w:asciiTheme="minorHAnsi" w:eastAsia="Microsoft YaHei" w:hAnsiTheme="minorHAnsi" w:cs="Arial"/>
          <w:color w:val="000000"/>
          <w:sz w:val="22"/>
          <w:szCs w:val="22"/>
          <w:lang w:eastAsia="zh-CN"/>
        </w:rPr>
        <w:t>;</w:t>
      </w:r>
    </w:p>
    <w:p w:rsidR="00F25E74" w:rsidRPr="00BA1F0F"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F25E74" w:rsidRPr="00BA1F0F">
        <w:rPr>
          <w:rFonts w:asciiTheme="minorHAnsi" w:eastAsia="Microsoft YaHei" w:hAnsiTheme="minorHAnsi" w:cs="Arial"/>
          <w:color w:val="000000"/>
          <w:sz w:val="22"/>
          <w:szCs w:val="22"/>
          <w:lang w:eastAsia="zh-CN"/>
        </w:rPr>
        <w:t>Analysis of the riskiness of the new business activities and their impact on the overall risk profile</w:t>
      </w:r>
      <w:r>
        <w:rPr>
          <w:rFonts w:asciiTheme="minorHAnsi" w:eastAsia="Microsoft YaHei" w:hAnsiTheme="minorHAnsi" w:cs="Arial"/>
          <w:color w:val="000000"/>
          <w:sz w:val="22"/>
          <w:szCs w:val="22"/>
          <w:lang w:eastAsia="zh-CN"/>
        </w:rPr>
        <w:t>;</w:t>
      </w:r>
      <w:r w:rsidR="00F25E74" w:rsidRPr="00BA1F0F">
        <w:rPr>
          <w:rFonts w:asciiTheme="minorHAnsi" w:eastAsia="Microsoft YaHei" w:hAnsiTheme="minorHAnsi" w:cs="Arial"/>
          <w:color w:val="000000"/>
          <w:sz w:val="22"/>
          <w:szCs w:val="22"/>
          <w:lang w:eastAsia="zh-CN"/>
        </w:rPr>
        <w:t xml:space="preserve"> </w:t>
      </w:r>
    </w:p>
    <w:p w:rsidR="00F65FCC" w:rsidRPr="00BC6F13"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lastRenderedPageBreak/>
        <w:t xml:space="preserve">- </w:t>
      </w:r>
      <w:r w:rsidR="00F86C29" w:rsidRPr="00BC6F13">
        <w:rPr>
          <w:rFonts w:asciiTheme="minorHAnsi" w:eastAsia="Microsoft YaHei" w:hAnsiTheme="minorHAnsi" w:cs="Arial"/>
          <w:color w:val="000000"/>
          <w:sz w:val="22"/>
          <w:szCs w:val="22"/>
          <w:lang w:eastAsia="zh-CN"/>
        </w:rPr>
        <w:t>Analysis of the materiality of outsourced activities and Review</w:t>
      </w:r>
      <w:r w:rsidR="00F65FCC" w:rsidRPr="00BC6F13">
        <w:rPr>
          <w:rFonts w:asciiTheme="minorHAnsi" w:eastAsia="Microsoft YaHei" w:hAnsiTheme="minorHAnsi" w:cs="Arial"/>
          <w:color w:val="000000"/>
          <w:sz w:val="22"/>
          <w:szCs w:val="22"/>
          <w:lang w:eastAsia="zh-CN"/>
        </w:rPr>
        <w:t xml:space="preserve"> of the material outsourced activities</w:t>
      </w:r>
      <w:r>
        <w:rPr>
          <w:rFonts w:asciiTheme="minorHAnsi" w:eastAsia="Microsoft YaHei" w:hAnsiTheme="minorHAnsi" w:cs="Arial"/>
          <w:color w:val="000000"/>
          <w:sz w:val="22"/>
          <w:szCs w:val="22"/>
          <w:lang w:eastAsia="zh-CN"/>
        </w:rPr>
        <w:t>;</w:t>
      </w:r>
    </w:p>
    <w:p w:rsidR="00672AD5" w:rsidRPr="00BC6F13"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F86C29" w:rsidRPr="00BC6F13">
        <w:rPr>
          <w:rFonts w:asciiTheme="minorHAnsi" w:eastAsia="Microsoft YaHei" w:hAnsiTheme="minorHAnsi" w:cs="Arial"/>
          <w:color w:val="000000"/>
          <w:sz w:val="22"/>
          <w:szCs w:val="22"/>
          <w:lang w:eastAsia="zh-CN"/>
        </w:rPr>
        <w:t>Carry out</w:t>
      </w:r>
      <w:r w:rsidR="00672AD5" w:rsidRPr="00BC6F13">
        <w:rPr>
          <w:rFonts w:asciiTheme="minorHAnsi" w:eastAsia="Microsoft YaHei" w:hAnsiTheme="minorHAnsi" w:cs="Arial"/>
          <w:color w:val="000000"/>
          <w:sz w:val="22"/>
          <w:szCs w:val="22"/>
          <w:lang w:eastAsia="zh-CN"/>
        </w:rPr>
        <w:t xml:space="preserve"> of the </w:t>
      </w:r>
      <w:r w:rsidR="00F86C29" w:rsidRPr="00BC6F13">
        <w:rPr>
          <w:rFonts w:asciiTheme="minorHAnsi" w:eastAsia="Microsoft YaHei" w:hAnsiTheme="minorHAnsi" w:cs="Arial"/>
          <w:color w:val="000000"/>
          <w:sz w:val="22"/>
          <w:szCs w:val="22"/>
          <w:lang w:eastAsia="zh-CN"/>
        </w:rPr>
        <w:t xml:space="preserve">risk </w:t>
      </w:r>
      <w:r w:rsidR="00672AD5" w:rsidRPr="00BC6F13">
        <w:rPr>
          <w:rFonts w:asciiTheme="minorHAnsi" w:eastAsia="Microsoft YaHei" w:hAnsiTheme="minorHAnsi" w:cs="Arial"/>
          <w:color w:val="000000"/>
          <w:sz w:val="22"/>
          <w:szCs w:val="22"/>
          <w:lang w:eastAsia="zh-CN"/>
        </w:rPr>
        <w:t xml:space="preserve">classification </w:t>
      </w:r>
      <w:r w:rsidR="00F86C29" w:rsidRPr="00BC6F13">
        <w:rPr>
          <w:rFonts w:asciiTheme="minorHAnsi" w:eastAsia="Microsoft YaHei" w:hAnsiTheme="minorHAnsi" w:cs="Arial"/>
          <w:color w:val="000000"/>
          <w:sz w:val="22"/>
          <w:szCs w:val="22"/>
          <w:lang w:eastAsia="zh-CN"/>
        </w:rPr>
        <w:t>concerning credit business processes</w:t>
      </w:r>
      <w:r>
        <w:rPr>
          <w:rFonts w:asciiTheme="minorHAnsi" w:eastAsia="Microsoft YaHei" w:hAnsiTheme="minorHAnsi" w:cs="Arial"/>
          <w:color w:val="000000"/>
          <w:sz w:val="22"/>
          <w:szCs w:val="22"/>
          <w:lang w:eastAsia="zh-CN"/>
        </w:rPr>
        <w:t>;</w:t>
      </w:r>
      <w:r w:rsidR="00F86C29" w:rsidRPr="00BC6F13">
        <w:rPr>
          <w:rFonts w:asciiTheme="minorHAnsi" w:eastAsia="Microsoft YaHei" w:hAnsiTheme="minorHAnsi" w:cs="Arial"/>
          <w:color w:val="000000"/>
          <w:sz w:val="22"/>
          <w:szCs w:val="22"/>
          <w:lang w:eastAsia="zh-CN"/>
        </w:rPr>
        <w:t xml:space="preserve"> </w:t>
      </w:r>
    </w:p>
    <w:p w:rsidR="00F86C29" w:rsidRPr="00BC6F13"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672AD5" w:rsidRPr="00BC6F13">
        <w:rPr>
          <w:rFonts w:asciiTheme="minorHAnsi" w:eastAsia="Microsoft YaHei" w:hAnsiTheme="minorHAnsi" w:cs="Arial"/>
          <w:color w:val="000000"/>
          <w:sz w:val="22"/>
          <w:szCs w:val="22"/>
          <w:lang w:eastAsia="zh-CN"/>
        </w:rPr>
        <w:t xml:space="preserve">Evaluation of </w:t>
      </w:r>
      <w:r w:rsidR="00F86C29" w:rsidRPr="00BC6F13">
        <w:rPr>
          <w:rFonts w:asciiTheme="minorHAnsi" w:eastAsia="Microsoft YaHei" w:hAnsiTheme="minorHAnsi" w:cs="Arial"/>
          <w:color w:val="000000"/>
          <w:sz w:val="22"/>
          <w:szCs w:val="22"/>
          <w:lang w:eastAsia="zh-CN"/>
        </w:rPr>
        <w:t xml:space="preserve">interest rate risk in </w:t>
      </w:r>
      <w:r w:rsidR="00672AD5" w:rsidRPr="00BC6F13">
        <w:rPr>
          <w:rFonts w:asciiTheme="minorHAnsi" w:eastAsia="Microsoft YaHei" w:hAnsiTheme="minorHAnsi" w:cs="Arial"/>
          <w:color w:val="000000"/>
          <w:sz w:val="22"/>
          <w:szCs w:val="22"/>
          <w:lang w:eastAsia="zh-CN"/>
        </w:rPr>
        <w:t xml:space="preserve">the banking book </w:t>
      </w:r>
      <w:r w:rsidR="00F86C29" w:rsidRPr="00BC6F13">
        <w:rPr>
          <w:rFonts w:asciiTheme="minorHAnsi" w:eastAsia="Microsoft YaHei" w:hAnsiTheme="minorHAnsi" w:cs="Arial"/>
          <w:color w:val="000000"/>
          <w:sz w:val="22"/>
          <w:szCs w:val="22"/>
          <w:lang w:eastAsia="zh-CN"/>
        </w:rPr>
        <w:t>according to IRRBB</w:t>
      </w:r>
      <w:r>
        <w:rPr>
          <w:rFonts w:asciiTheme="minorHAnsi" w:eastAsia="Microsoft YaHei" w:hAnsiTheme="minorHAnsi" w:cs="Arial"/>
          <w:color w:val="000000"/>
          <w:sz w:val="22"/>
          <w:szCs w:val="22"/>
          <w:lang w:eastAsia="zh-CN"/>
        </w:rPr>
        <w:t>;</w:t>
      </w:r>
    </w:p>
    <w:p w:rsidR="005F1EF9" w:rsidRPr="00BC6F13"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672AD5" w:rsidRPr="00BC6F13">
        <w:rPr>
          <w:rFonts w:asciiTheme="minorHAnsi" w:eastAsia="Microsoft YaHei" w:hAnsiTheme="minorHAnsi" w:cs="Arial"/>
          <w:color w:val="000000"/>
          <w:sz w:val="22"/>
          <w:szCs w:val="22"/>
          <w:lang w:eastAsia="zh-CN"/>
        </w:rPr>
        <w:t>Analysis of the bank’s liquidity</w:t>
      </w:r>
      <w:r w:rsidR="005F1EF9" w:rsidRPr="00BC6F13">
        <w:rPr>
          <w:rFonts w:asciiTheme="minorHAnsi" w:eastAsia="Microsoft YaHei" w:hAnsiTheme="minorHAnsi" w:cs="Arial"/>
          <w:color w:val="000000"/>
          <w:sz w:val="22"/>
          <w:szCs w:val="22"/>
          <w:lang w:eastAsia="zh-CN"/>
        </w:rPr>
        <w:t xml:space="preserve"> situation and assess liquidity</w:t>
      </w:r>
      <w:r>
        <w:rPr>
          <w:rFonts w:asciiTheme="minorHAnsi" w:eastAsia="Microsoft YaHei" w:hAnsiTheme="minorHAnsi" w:cs="Arial"/>
          <w:color w:val="000000"/>
          <w:sz w:val="22"/>
          <w:szCs w:val="22"/>
          <w:lang w:eastAsia="zh-CN"/>
        </w:rPr>
        <w:t xml:space="preserve"> </w:t>
      </w:r>
      <w:r w:rsidR="00672AD5" w:rsidRPr="00BC6F13">
        <w:rPr>
          <w:rFonts w:asciiTheme="minorHAnsi" w:eastAsia="Microsoft YaHei" w:hAnsiTheme="minorHAnsi" w:cs="Arial"/>
          <w:color w:val="000000"/>
          <w:sz w:val="22"/>
          <w:szCs w:val="22"/>
          <w:lang w:eastAsia="zh-CN"/>
        </w:rPr>
        <w:t>risk</w:t>
      </w:r>
      <w:r>
        <w:rPr>
          <w:rFonts w:asciiTheme="minorHAnsi" w:eastAsia="Microsoft YaHei" w:hAnsiTheme="minorHAnsi" w:cs="Arial"/>
          <w:color w:val="000000"/>
          <w:sz w:val="22"/>
          <w:szCs w:val="22"/>
          <w:lang w:eastAsia="zh-CN"/>
        </w:rPr>
        <w:t>;</w:t>
      </w:r>
      <w:r w:rsidR="00672AD5" w:rsidRPr="00BC6F13">
        <w:rPr>
          <w:rFonts w:asciiTheme="minorHAnsi" w:eastAsia="Microsoft YaHei" w:hAnsiTheme="minorHAnsi" w:cs="Arial"/>
          <w:color w:val="000000"/>
          <w:sz w:val="22"/>
          <w:szCs w:val="22"/>
          <w:lang w:eastAsia="zh-CN"/>
        </w:rPr>
        <w:t xml:space="preserve"> </w:t>
      </w:r>
    </w:p>
    <w:p w:rsidR="00C51A3F" w:rsidRDefault="00BA1F0F" w:rsidP="00C85077">
      <w:pPr>
        <w:pStyle w:val="BodyText"/>
        <w:tabs>
          <w:tab w:val="left" w:pos="1807"/>
        </w:tabs>
        <w:spacing w:line="360" w:lineRule="auto"/>
        <w:ind w:left="0" w:right="-858" w:firstLine="0"/>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7E642B" w:rsidRPr="00BC6F13">
        <w:rPr>
          <w:rFonts w:asciiTheme="minorHAnsi" w:eastAsia="Microsoft YaHei" w:hAnsiTheme="minorHAnsi" w:cs="Arial"/>
          <w:color w:val="000000"/>
          <w:sz w:val="22"/>
          <w:szCs w:val="22"/>
          <w:lang w:eastAsia="zh-CN"/>
        </w:rPr>
        <w:t>Risk assessment/calculation</w:t>
      </w:r>
      <w:r w:rsidR="008D10F4" w:rsidRPr="00BC6F13">
        <w:rPr>
          <w:rFonts w:asciiTheme="minorHAnsi" w:eastAsia="Microsoft YaHei" w:hAnsiTheme="minorHAnsi" w:cs="Arial"/>
          <w:color w:val="000000"/>
          <w:sz w:val="22"/>
          <w:szCs w:val="22"/>
          <w:lang w:eastAsia="zh-CN"/>
        </w:rPr>
        <w:t xml:space="preserve"> </w:t>
      </w:r>
      <w:r w:rsidR="007E642B" w:rsidRPr="00BC6F13">
        <w:rPr>
          <w:rFonts w:asciiTheme="minorHAnsi" w:eastAsia="Microsoft YaHei" w:hAnsiTheme="minorHAnsi" w:cs="Arial"/>
          <w:color w:val="000000"/>
          <w:sz w:val="22"/>
          <w:szCs w:val="22"/>
          <w:lang w:eastAsia="zh-CN"/>
        </w:rPr>
        <w:t xml:space="preserve">of </w:t>
      </w:r>
      <w:r w:rsidR="008D10F4" w:rsidRPr="00BC6F13">
        <w:rPr>
          <w:rFonts w:asciiTheme="minorHAnsi" w:eastAsia="Microsoft YaHei" w:hAnsiTheme="minorHAnsi" w:cs="Arial"/>
          <w:color w:val="000000"/>
          <w:sz w:val="22"/>
          <w:szCs w:val="22"/>
          <w:lang w:eastAsia="zh-CN"/>
        </w:rPr>
        <w:t>operational risk</w:t>
      </w:r>
      <w:r w:rsidR="006913CF" w:rsidRPr="00BC6F13">
        <w:rPr>
          <w:rFonts w:asciiTheme="minorHAnsi" w:eastAsia="Microsoft YaHei" w:hAnsiTheme="minorHAnsi" w:cs="Arial"/>
          <w:color w:val="000000"/>
          <w:sz w:val="22"/>
          <w:szCs w:val="22"/>
          <w:lang w:eastAsia="zh-CN"/>
        </w:rPr>
        <w:t xml:space="preserve"> </w:t>
      </w:r>
      <w:r w:rsidR="007E642B" w:rsidRPr="00BC6F13">
        <w:rPr>
          <w:rFonts w:asciiTheme="minorHAnsi" w:eastAsia="Microsoft YaHei" w:hAnsiTheme="minorHAnsi" w:cs="Arial"/>
          <w:color w:val="000000"/>
          <w:sz w:val="22"/>
          <w:szCs w:val="22"/>
          <w:lang w:eastAsia="zh-CN"/>
        </w:rPr>
        <w:t>in terms of</w:t>
      </w:r>
      <w:r w:rsidR="006913CF" w:rsidRPr="00BC6F13">
        <w:rPr>
          <w:rFonts w:asciiTheme="minorHAnsi" w:eastAsia="Microsoft YaHei" w:hAnsiTheme="minorHAnsi" w:cs="Arial"/>
          <w:color w:val="000000"/>
          <w:sz w:val="22"/>
          <w:szCs w:val="22"/>
          <w:lang w:eastAsia="zh-CN"/>
        </w:rPr>
        <w:t xml:space="preserve"> risk bearing capacity</w:t>
      </w:r>
      <w:r>
        <w:rPr>
          <w:rFonts w:asciiTheme="minorHAnsi" w:eastAsia="Microsoft YaHei" w:hAnsiTheme="minorHAnsi" w:cs="Arial"/>
          <w:color w:val="000000"/>
          <w:sz w:val="22"/>
          <w:szCs w:val="22"/>
          <w:lang w:eastAsia="zh-CN"/>
        </w:rPr>
        <w:t>;</w:t>
      </w:r>
    </w:p>
    <w:p w:rsidR="00C51A3F" w:rsidRDefault="00C51A3F" w:rsidP="00C85077">
      <w:pPr>
        <w:pStyle w:val="BodyText"/>
        <w:tabs>
          <w:tab w:val="left" w:pos="1807"/>
        </w:tabs>
        <w:spacing w:line="360" w:lineRule="auto"/>
        <w:ind w:left="0" w:right="-7" w:firstLine="0"/>
        <w:rPr>
          <w:rFonts w:asciiTheme="minorHAnsi" w:eastAsia="Microsoft YaHei" w:hAnsiTheme="minorHAnsi" w:cs="Arial"/>
          <w:color w:val="000000"/>
          <w:sz w:val="22"/>
          <w:szCs w:val="22"/>
          <w:lang w:eastAsia="zh-CN"/>
        </w:rPr>
      </w:pPr>
    </w:p>
    <w:p w:rsidR="00BC6F13" w:rsidRPr="00C51A3F" w:rsidRDefault="00045BAD" w:rsidP="00C85077">
      <w:pPr>
        <w:pStyle w:val="BodyText"/>
        <w:tabs>
          <w:tab w:val="left" w:pos="1807"/>
        </w:tabs>
        <w:spacing w:line="360" w:lineRule="auto"/>
        <w:ind w:left="0" w:right="-7" w:firstLine="0"/>
        <w:rPr>
          <w:rFonts w:asciiTheme="minorHAnsi" w:eastAsia="Microsoft YaHei" w:hAnsiTheme="minorHAnsi" w:cs="Arial"/>
          <w:color w:val="000000"/>
          <w:sz w:val="22"/>
          <w:szCs w:val="22"/>
          <w:lang w:eastAsia="zh-CN"/>
        </w:rPr>
      </w:pPr>
      <w:r w:rsidRPr="00C51A3F">
        <w:rPr>
          <w:rFonts w:asciiTheme="minorHAnsi" w:eastAsia="Microsoft YaHei" w:hAnsiTheme="minorHAnsi" w:cs="Arial"/>
          <w:b/>
          <w:color w:val="000000"/>
          <w:sz w:val="22"/>
          <w:szCs w:val="22"/>
        </w:rPr>
        <w:t>Qualifications</w:t>
      </w:r>
      <w:r w:rsidR="00C51A3F">
        <w:rPr>
          <w:rFonts w:asciiTheme="minorHAnsi" w:eastAsia="Microsoft YaHei" w:hAnsiTheme="minorHAnsi" w:cs="Arial"/>
          <w:b/>
          <w:color w:val="000000"/>
          <w:sz w:val="22"/>
          <w:szCs w:val="22"/>
        </w:rPr>
        <w:t xml:space="preserve"> and knowledge</w:t>
      </w:r>
      <w:r w:rsidRPr="00C51A3F">
        <w:rPr>
          <w:rFonts w:asciiTheme="minorHAnsi" w:eastAsia="Microsoft YaHei" w:hAnsiTheme="minorHAnsi" w:cs="Arial"/>
          <w:b/>
          <w:color w:val="000000"/>
          <w:sz w:val="22"/>
          <w:szCs w:val="22"/>
        </w:rPr>
        <w:t>:</w:t>
      </w:r>
    </w:p>
    <w:p w:rsidR="00C51A3F" w:rsidRDefault="00C51A3F" w:rsidP="00C85077">
      <w:pPr>
        <w:pStyle w:val="BodyText"/>
        <w:tabs>
          <w:tab w:val="left" w:pos="1807"/>
        </w:tabs>
        <w:spacing w:line="360" w:lineRule="auto"/>
        <w:ind w:left="0" w:right="-7" w:firstLine="0"/>
        <w:jc w:val="both"/>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5F1EF9" w:rsidRPr="00C51A3F">
        <w:rPr>
          <w:rFonts w:asciiTheme="minorHAnsi" w:eastAsia="Microsoft YaHei" w:hAnsiTheme="minorHAnsi" w:cs="Arial"/>
          <w:color w:val="000000"/>
          <w:sz w:val="22"/>
          <w:szCs w:val="22"/>
          <w:lang w:eastAsia="zh-CN"/>
        </w:rPr>
        <w:t>Qualified d</w:t>
      </w:r>
      <w:r w:rsidR="00AF08B9" w:rsidRPr="00C51A3F">
        <w:rPr>
          <w:rFonts w:asciiTheme="minorHAnsi" w:eastAsia="Microsoft YaHei" w:hAnsiTheme="minorHAnsi" w:cs="Arial"/>
          <w:color w:val="000000"/>
          <w:sz w:val="22"/>
          <w:szCs w:val="22"/>
          <w:lang w:eastAsia="zh-CN"/>
        </w:rPr>
        <w:t>egree and relevant risk management</w:t>
      </w:r>
      <w:r>
        <w:rPr>
          <w:rFonts w:asciiTheme="minorHAnsi" w:eastAsia="Microsoft YaHei" w:hAnsiTheme="minorHAnsi" w:cs="Arial"/>
          <w:color w:val="000000"/>
          <w:sz w:val="22"/>
          <w:szCs w:val="22"/>
          <w:lang w:eastAsia="zh-CN"/>
        </w:rPr>
        <w:t xml:space="preserve"> qualifications;</w:t>
      </w:r>
    </w:p>
    <w:p w:rsidR="004A3B0A" w:rsidRPr="00C51A3F" w:rsidRDefault="00C51A3F" w:rsidP="00C85077">
      <w:pPr>
        <w:pStyle w:val="BodyText"/>
        <w:tabs>
          <w:tab w:val="left" w:pos="1807"/>
        </w:tabs>
        <w:spacing w:line="360" w:lineRule="auto"/>
        <w:ind w:left="142" w:right="-7" w:hanging="142"/>
        <w:jc w:val="both"/>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AF08B9" w:rsidRPr="00C51A3F">
        <w:rPr>
          <w:rFonts w:asciiTheme="minorHAnsi" w:eastAsia="Microsoft YaHei" w:hAnsiTheme="minorHAnsi" w:cs="Arial"/>
          <w:color w:val="000000"/>
          <w:sz w:val="22"/>
          <w:szCs w:val="22"/>
          <w:lang w:eastAsia="zh-CN"/>
        </w:rPr>
        <w:t xml:space="preserve">Previous experience </w:t>
      </w:r>
      <w:r w:rsidR="005F1EF9" w:rsidRPr="00C51A3F">
        <w:rPr>
          <w:rFonts w:asciiTheme="minorHAnsi" w:eastAsia="Microsoft YaHei" w:hAnsiTheme="minorHAnsi" w:cs="Arial"/>
          <w:color w:val="000000"/>
          <w:sz w:val="22"/>
          <w:szCs w:val="22"/>
          <w:lang w:eastAsia="zh-CN"/>
        </w:rPr>
        <w:t xml:space="preserve">at least 2 years </w:t>
      </w:r>
      <w:r w:rsidR="00AF08B9" w:rsidRPr="00C51A3F">
        <w:rPr>
          <w:rFonts w:asciiTheme="minorHAnsi" w:eastAsia="Microsoft YaHei" w:hAnsiTheme="minorHAnsi" w:cs="Arial"/>
          <w:color w:val="000000"/>
          <w:sz w:val="22"/>
          <w:szCs w:val="22"/>
          <w:lang w:eastAsia="zh-CN"/>
        </w:rPr>
        <w:t>within risk management and strong understanding of risk processes, analytical reporting</w:t>
      </w:r>
      <w:r>
        <w:rPr>
          <w:rFonts w:asciiTheme="minorHAnsi" w:eastAsia="Microsoft YaHei" w:hAnsiTheme="minorHAnsi" w:cs="Arial"/>
          <w:color w:val="000000"/>
          <w:sz w:val="22"/>
          <w:szCs w:val="22"/>
          <w:lang w:eastAsia="zh-CN"/>
        </w:rPr>
        <w:t>;</w:t>
      </w:r>
    </w:p>
    <w:p w:rsidR="004A3B0A" w:rsidRPr="00C51A3F" w:rsidRDefault="00C51A3F" w:rsidP="00C85077">
      <w:pPr>
        <w:pStyle w:val="BodyText"/>
        <w:tabs>
          <w:tab w:val="left" w:pos="1807"/>
        </w:tabs>
        <w:spacing w:line="360" w:lineRule="auto"/>
        <w:ind w:left="0" w:right="-7" w:firstLine="0"/>
        <w:jc w:val="both"/>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4A3B0A" w:rsidRPr="00C51A3F">
        <w:rPr>
          <w:rFonts w:asciiTheme="minorHAnsi" w:eastAsia="Microsoft YaHei" w:hAnsiTheme="minorHAnsi" w:cs="Arial"/>
          <w:color w:val="000000"/>
          <w:sz w:val="22"/>
          <w:szCs w:val="22"/>
          <w:lang w:eastAsia="zh-CN"/>
        </w:rPr>
        <w:t xml:space="preserve">Knowledge of DE/EU financial institution regulations including CRR, ICAAP and </w:t>
      </w:r>
      <w:proofErr w:type="spellStart"/>
      <w:r w:rsidR="004A3B0A" w:rsidRPr="00C51A3F">
        <w:rPr>
          <w:rFonts w:asciiTheme="minorHAnsi" w:eastAsia="Microsoft YaHei" w:hAnsiTheme="minorHAnsi" w:cs="Arial"/>
          <w:color w:val="000000"/>
          <w:sz w:val="22"/>
          <w:szCs w:val="22"/>
          <w:lang w:eastAsia="zh-CN"/>
        </w:rPr>
        <w:t>MaRisk</w:t>
      </w:r>
      <w:proofErr w:type="spellEnd"/>
      <w:r w:rsidR="004A3B0A" w:rsidRPr="00C51A3F">
        <w:rPr>
          <w:rFonts w:asciiTheme="minorHAnsi" w:eastAsia="Microsoft YaHei" w:hAnsiTheme="minorHAnsi" w:cs="Arial"/>
          <w:color w:val="000000"/>
          <w:sz w:val="22"/>
          <w:szCs w:val="22"/>
          <w:lang w:eastAsia="zh-CN"/>
        </w:rPr>
        <w:t xml:space="preserve"> etc</w:t>
      </w:r>
      <w:proofErr w:type="gramStart"/>
      <w:r w:rsidR="004A3B0A" w:rsidRPr="00C51A3F">
        <w:rPr>
          <w:rFonts w:asciiTheme="minorHAnsi" w:eastAsia="Microsoft YaHei" w:hAnsiTheme="minorHAnsi" w:cs="Arial"/>
          <w:color w:val="000000"/>
          <w:sz w:val="22"/>
          <w:szCs w:val="22"/>
          <w:lang w:eastAsia="zh-CN"/>
        </w:rPr>
        <w:t>.</w:t>
      </w:r>
      <w:r>
        <w:rPr>
          <w:rFonts w:asciiTheme="minorHAnsi" w:eastAsia="Microsoft YaHei" w:hAnsiTheme="minorHAnsi" w:cs="Arial"/>
          <w:color w:val="000000"/>
          <w:sz w:val="22"/>
          <w:szCs w:val="22"/>
          <w:lang w:eastAsia="zh-CN"/>
        </w:rPr>
        <w:t>;</w:t>
      </w:r>
      <w:proofErr w:type="gramEnd"/>
    </w:p>
    <w:p w:rsidR="004A3B0A" w:rsidRPr="00C51A3F" w:rsidRDefault="00C51A3F" w:rsidP="00C85077">
      <w:pPr>
        <w:pStyle w:val="BodyText"/>
        <w:tabs>
          <w:tab w:val="left" w:pos="1807"/>
        </w:tabs>
        <w:spacing w:line="360" w:lineRule="auto"/>
        <w:ind w:left="0" w:right="-7" w:firstLine="0"/>
        <w:jc w:val="both"/>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4A3B0A" w:rsidRPr="00C51A3F">
        <w:rPr>
          <w:rFonts w:asciiTheme="minorHAnsi" w:eastAsia="Microsoft YaHei" w:hAnsiTheme="minorHAnsi" w:cs="Arial"/>
          <w:color w:val="000000"/>
          <w:sz w:val="22"/>
          <w:szCs w:val="22"/>
          <w:lang w:eastAsia="zh-CN"/>
        </w:rPr>
        <w:t>Excellent communication skills and</w:t>
      </w:r>
      <w:r w:rsidR="000436EC" w:rsidRPr="00C51A3F">
        <w:rPr>
          <w:rFonts w:asciiTheme="minorHAnsi" w:eastAsia="Microsoft YaHei" w:hAnsiTheme="minorHAnsi" w:cs="Arial"/>
          <w:color w:val="000000"/>
          <w:sz w:val="22"/>
          <w:szCs w:val="22"/>
          <w:lang w:eastAsia="zh-CN"/>
        </w:rPr>
        <w:t xml:space="preserve"> multicultural team</w:t>
      </w:r>
      <w:r>
        <w:rPr>
          <w:rFonts w:asciiTheme="minorHAnsi" w:eastAsia="Microsoft YaHei" w:hAnsiTheme="minorHAnsi" w:cs="Arial"/>
          <w:color w:val="000000"/>
          <w:sz w:val="22"/>
          <w:szCs w:val="22"/>
          <w:lang w:eastAsia="zh-CN"/>
        </w:rPr>
        <w:t>work;</w:t>
      </w:r>
    </w:p>
    <w:p w:rsidR="004A3B0A" w:rsidRDefault="00C51A3F" w:rsidP="00C85077">
      <w:pPr>
        <w:pStyle w:val="BodyText"/>
        <w:tabs>
          <w:tab w:val="left" w:pos="1807"/>
        </w:tabs>
        <w:spacing w:line="360" w:lineRule="auto"/>
        <w:ind w:left="0" w:right="-7" w:firstLine="0"/>
        <w:jc w:val="both"/>
        <w:rPr>
          <w:rFonts w:asciiTheme="minorHAnsi" w:eastAsia="Microsoft YaHei" w:hAnsiTheme="minorHAnsi" w:cs="Arial"/>
          <w:color w:val="000000"/>
          <w:sz w:val="22"/>
          <w:szCs w:val="22"/>
          <w:lang w:eastAsia="zh-CN"/>
        </w:rPr>
      </w:pPr>
      <w:r>
        <w:rPr>
          <w:rFonts w:asciiTheme="minorHAnsi" w:eastAsia="Microsoft YaHei" w:hAnsiTheme="minorHAnsi" w:cs="Arial"/>
          <w:color w:val="000000"/>
          <w:sz w:val="22"/>
          <w:szCs w:val="22"/>
          <w:lang w:eastAsia="zh-CN"/>
        </w:rPr>
        <w:t xml:space="preserve">- </w:t>
      </w:r>
      <w:r w:rsidR="002451BF" w:rsidRPr="00C51A3F">
        <w:rPr>
          <w:rFonts w:asciiTheme="minorHAnsi" w:eastAsia="Microsoft YaHei" w:hAnsiTheme="minorHAnsi" w:cs="Arial"/>
          <w:color w:val="000000"/>
          <w:sz w:val="22"/>
          <w:szCs w:val="22"/>
          <w:lang w:eastAsia="zh-CN"/>
        </w:rPr>
        <w:t xml:space="preserve">English and German both written and verbal are essential, Chinese </w:t>
      </w:r>
      <w:r w:rsidR="000436EC" w:rsidRPr="00C51A3F">
        <w:rPr>
          <w:rFonts w:asciiTheme="minorHAnsi" w:eastAsia="Microsoft YaHei" w:hAnsiTheme="minorHAnsi" w:cs="Arial"/>
          <w:color w:val="000000"/>
          <w:sz w:val="22"/>
          <w:szCs w:val="22"/>
          <w:lang w:eastAsia="zh-CN"/>
        </w:rPr>
        <w:t>knowledge preferred.</w:t>
      </w:r>
    </w:p>
    <w:p w:rsidR="00C51A3F" w:rsidRPr="00C51A3F" w:rsidRDefault="00C51A3F" w:rsidP="00C51A3F">
      <w:pPr>
        <w:pStyle w:val="BodyText"/>
        <w:tabs>
          <w:tab w:val="left" w:pos="1807"/>
        </w:tabs>
        <w:spacing w:line="360" w:lineRule="auto"/>
        <w:ind w:left="0" w:right="-1283" w:firstLine="0"/>
        <w:jc w:val="both"/>
        <w:rPr>
          <w:rFonts w:asciiTheme="minorHAnsi" w:eastAsia="Microsoft YaHei" w:hAnsiTheme="minorHAnsi" w:cs="Arial"/>
          <w:color w:val="000000"/>
          <w:sz w:val="22"/>
          <w:szCs w:val="22"/>
          <w:lang w:eastAsia="zh-CN"/>
        </w:rPr>
      </w:pPr>
    </w:p>
    <w:p w:rsidR="00C51A3F" w:rsidRPr="00C51A3F" w:rsidRDefault="00C51A3F" w:rsidP="00C51A3F">
      <w:pPr>
        <w:ind w:right="-1283"/>
        <w:rPr>
          <w:rFonts w:eastAsia="Microsoft YaHei" w:cs="Arial"/>
          <w:color w:val="000000"/>
        </w:rPr>
      </w:pPr>
      <w:r w:rsidRPr="004B03BD">
        <w:t>Please send your complete application documents including salary expectations and earliest possible entry date with reference to the above mentioned job title to</w:t>
      </w:r>
      <w:r>
        <w:t xml:space="preserve"> </w:t>
      </w:r>
      <w:hyperlink r:id="rId5" w:history="1">
        <w:r w:rsidRPr="00694D12">
          <w:rPr>
            <w:rStyle w:val="Hyperlink"/>
          </w:rPr>
          <w:t>ccbff@ccbff.de</w:t>
        </w:r>
      </w:hyperlink>
      <w:r>
        <w:t xml:space="preserve">. </w:t>
      </w:r>
    </w:p>
    <w:p w:rsidR="00045BAD" w:rsidRPr="009C2305" w:rsidRDefault="00045BAD" w:rsidP="004A3B0A">
      <w:pPr>
        <w:rPr>
          <w:rFonts w:ascii="Helvetica" w:eastAsia="Times New Roman" w:hAnsi="Helvetica" w:cs="Helvetica"/>
          <w:color w:val="485D65"/>
          <w:sz w:val="24"/>
          <w:szCs w:val="24"/>
        </w:rPr>
      </w:pPr>
    </w:p>
    <w:sectPr w:rsidR="00045BAD" w:rsidRPr="009C230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57A"/>
    <w:multiLevelType w:val="multilevel"/>
    <w:tmpl w:val="740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3D83"/>
    <w:multiLevelType w:val="hybridMultilevel"/>
    <w:tmpl w:val="FFB68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EC4ABA"/>
    <w:multiLevelType w:val="multilevel"/>
    <w:tmpl w:val="2E8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F61E9"/>
    <w:multiLevelType w:val="multilevel"/>
    <w:tmpl w:val="0206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F2C0F"/>
    <w:multiLevelType w:val="multilevel"/>
    <w:tmpl w:val="CB3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713EA"/>
    <w:multiLevelType w:val="multilevel"/>
    <w:tmpl w:val="4394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E458C"/>
    <w:multiLevelType w:val="multilevel"/>
    <w:tmpl w:val="A08C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B2D24"/>
    <w:multiLevelType w:val="multilevel"/>
    <w:tmpl w:val="0506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16406"/>
    <w:multiLevelType w:val="multilevel"/>
    <w:tmpl w:val="131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519C2"/>
    <w:multiLevelType w:val="multilevel"/>
    <w:tmpl w:val="C312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55B0C"/>
    <w:multiLevelType w:val="multilevel"/>
    <w:tmpl w:val="2E8E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C1C4B"/>
    <w:multiLevelType w:val="multilevel"/>
    <w:tmpl w:val="1AE2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361E9"/>
    <w:multiLevelType w:val="multilevel"/>
    <w:tmpl w:val="DA1A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B6FA4"/>
    <w:multiLevelType w:val="multilevel"/>
    <w:tmpl w:val="5D1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F5437"/>
    <w:multiLevelType w:val="multilevel"/>
    <w:tmpl w:val="37C2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A5AA4"/>
    <w:multiLevelType w:val="multilevel"/>
    <w:tmpl w:val="056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630A3"/>
    <w:multiLevelType w:val="multilevel"/>
    <w:tmpl w:val="0DE4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D21D8B"/>
    <w:multiLevelType w:val="multilevel"/>
    <w:tmpl w:val="0396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F4393"/>
    <w:multiLevelType w:val="multilevel"/>
    <w:tmpl w:val="279E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75018"/>
    <w:multiLevelType w:val="multilevel"/>
    <w:tmpl w:val="EA4E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7504EA"/>
    <w:multiLevelType w:val="multilevel"/>
    <w:tmpl w:val="545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1A2AB9"/>
    <w:multiLevelType w:val="multilevel"/>
    <w:tmpl w:val="9004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292C2F"/>
    <w:multiLevelType w:val="hybridMultilevel"/>
    <w:tmpl w:val="59CECFA6"/>
    <w:lvl w:ilvl="0" w:tplc="B7442E30">
      <w:numFmt w:val="bullet"/>
      <w:lvlText w:val="-"/>
      <w:lvlJc w:val="left"/>
      <w:pPr>
        <w:ind w:left="720" w:hanging="360"/>
      </w:pPr>
      <w:rPr>
        <w:rFonts w:ascii="Arial" w:eastAsia="宋体"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76455F"/>
    <w:multiLevelType w:val="multilevel"/>
    <w:tmpl w:val="FDF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2"/>
  </w:num>
  <w:num w:numId="5">
    <w:abstractNumId w:val="19"/>
  </w:num>
  <w:num w:numId="6">
    <w:abstractNumId w:val="4"/>
  </w:num>
  <w:num w:numId="7">
    <w:abstractNumId w:val="18"/>
  </w:num>
  <w:num w:numId="8">
    <w:abstractNumId w:val="16"/>
  </w:num>
  <w:num w:numId="9">
    <w:abstractNumId w:val="14"/>
  </w:num>
  <w:num w:numId="10">
    <w:abstractNumId w:val="8"/>
  </w:num>
  <w:num w:numId="11">
    <w:abstractNumId w:val="12"/>
  </w:num>
  <w:num w:numId="12">
    <w:abstractNumId w:val="21"/>
  </w:num>
  <w:num w:numId="13">
    <w:abstractNumId w:val="9"/>
  </w:num>
  <w:num w:numId="14">
    <w:abstractNumId w:val="5"/>
  </w:num>
  <w:num w:numId="15">
    <w:abstractNumId w:val="10"/>
  </w:num>
  <w:num w:numId="16">
    <w:abstractNumId w:val="11"/>
  </w:num>
  <w:num w:numId="17">
    <w:abstractNumId w:val="13"/>
  </w:num>
  <w:num w:numId="18">
    <w:abstractNumId w:val="6"/>
  </w:num>
  <w:num w:numId="19">
    <w:abstractNumId w:val="23"/>
  </w:num>
  <w:num w:numId="20">
    <w:abstractNumId w:val="17"/>
  </w:num>
  <w:num w:numId="21">
    <w:abstractNumId w:val="20"/>
  </w:num>
  <w:num w:numId="22">
    <w:abstractNumId w:val="22"/>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E1"/>
    <w:rsid w:val="00033F9C"/>
    <w:rsid w:val="000436EC"/>
    <w:rsid w:val="00045BAD"/>
    <w:rsid w:val="00101852"/>
    <w:rsid w:val="00213F58"/>
    <w:rsid w:val="00227809"/>
    <w:rsid w:val="002451BF"/>
    <w:rsid w:val="00311FC6"/>
    <w:rsid w:val="00472036"/>
    <w:rsid w:val="004A3682"/>
    <w:rsid w:val="004A3B0A"/>
    <w:rsid w:val="004F1D10"/>
    <w:rsid w:val="005371E1"/>
    <w:rsid w:val="005F1EF9"/>
    <w:rsid w:val="00644ED8"/>
    <w:rsid w:val="00672AD5"/>
    <w:rsid w:val="006913CF"/>
    <w:rsid w:val="006D21E5"/>
    <w:rsid w:val="0073251B"/>
    <w:rsid w:val="007E642B"/>
    <w:rsid w:val="00801D4A"/>
    <w:rsid w:val="008D10F4"/>
    <w:rsid w:val="00916533"/>
    <w:rsid w:val="009C2305"/>
    <w:rsid w:val="00AC68DC"/>
    <w:rsid w:val="00AF08B9"/>
    <w:rsid w:val="00B90D8F"/>
    <w:rsid w:val="00BA1590"/>
    <w:rsid w:val="00BA1F0F"/>
    <w:rsid w:val="00BC6F13"/>
    <w:rsid w:val="00C51A3F"/>
    <w:rsid w:val="00C85077"/>
    <w:rsid w:val="00E152F0"/>
    <w:rsid w:val="00EE67AA"/>
    <w:rsid w:val="00F25E74"/>
    <w:rsid w:val="00F65FCC"/>
    <w:rsid w:val="00F8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BD4A"/>
  <w15:docId w15:val="{5CEC6824-93C8-42B9-853B-DA0AB9F1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C2305"/>
    <w:pPr>
      <w:spacing w:before="100" w:beforeAutospacing="1" w:after="100" w:afterAutospacing="1" w:line="240" w:lineRule="auto"/>
      <w:outlineLvl w:val="1"/>
    </w:pPr>
    <w:rPr>
      <w:rFonts w:ascii="Times New Roman" w:eastAsia="Times New Roman" w:hAnsi="Times New Roman" w:cs="Times New Roman"/>
      <w:b/>
      <w:bCs/>
      <w:sz w:val="36"/>
      <w:szCs w:val="3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05"/>
    <w:rPr>
      <w:rFonts w:ascii="Times New Roman" w:eastAsia="Times New Roman" w:hAnsi="Times New Roman" w:cs="Times New Roman"/>
      <w:b/>
      <w:bCs/>
      <w:sz w:val="36"/>
      <w:szCs w:val="36"/>
      <w:lang w:val="de-DE"/>
    </w:rPr>
  </w:style>
  <w:style w:type="paragraph" w:styleId="NormalWeb">
    <w:name w:val="Normal (Web)"/>
    <w:basedOn w:val="Normal"/>
    <w:uiPriority w:val="99"/>
    <w:semiHidden/>
    <w:unhideWhenUsed/>
    <w:rsid w:val="009C2305"/>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BalloonText">
    <w:name w:val="Balloon Text"/>
    <w:basedOn w:val="Normal"/>
    <w:link w:val="BalloonTextChar"/>
    <w:uiPriority w:val="99"/>
    <w:semiHidden/>
    <w:unhideWhenUsed/>
    <w:rsid w:val="009C2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305"/>
    <w:rPr>
      <w:rFonts w:ascii="Tahoma" w:hAnsi="Tahoma" w:cs="Tahoma"/>
      <w:sz w:val="16"/>
      <w:szCs w:val="16"/>
    </w:rPr>
  </w:style>
  <w:style w:type="paragraph" w:styleId="BodyText">
    <w:name w:val="Body Text"/>
    <w:basedOn w:val="Normal"/>
    <w:link w:val="BodyTextChar"/>
    <w:uiPriority w:val="1"/>
    <w:qFormat/>
    <w:rsid w:val="00801D4A"/>
    <w:pPr>
      <w:widowControl w:val="0"/>
      <w:spacing w:after="0" w:line="240" w:lineRule="auto"/>
      <w:ind w:left="478" w:hanging="360"/>
    </w:pPr>
    <w:rPr>
      <w:rFonts w:ascii="Arial" w:eastAsia="Arial" w:hAnsi="Arial"/>
      <w:sz w:val="24"/>
      <w:szCs w:val="24"/>
      <w:lang w:eastAsia="en-US"/>
    </w:rPr>
  </w:style>
  <w:style w:type="character" w:customStyle="1" w:styleId="BodyTextChar">
    <w:name w:val="Body Text Char"/>
    <w:basedOn w:val="DefaultParagraphFont"/>
    <w:link w:val="BodyText"/>
    <w:uiPriority w:val="1"/>
    <w:rsid w:val="00801D4A"/>
    <w:rPr>
      <w:rFonts w:ascii="Arial" w:eastAsia="Arial" w:hAnsi="Arial"/>
      <w:sz w:val="24"/>
      <w:szCs w:val="24"/>
      <w:lang w:eastAsia="en-US"/>
    </w:rPr>
  </w:style>
  <w:style w:type="paragraph" w:styleId="ListParagraph">
    <w:name w:val="List Paragraph"/>
    <w:basedOn w:val="Normal"/>
    <w:uiPriority w:val="34"/>
    <w:qFormat/>
    <w:rsid w:val="00801D4A"/>
    <w:pPr>
      <w:ind w:left="720"/>
      <w:contextualSpacing/>
    </w:pPr>
  </w:style>
  <w:style w:type="character" w:styleId="Hyperlink">
    <w:name w:val="Hyperlink"/>
    <w:basedOn w:val="DefaultParagraphFont"/>
    <w:uiPriority w:val="99"/>
    <w:unhideWhenUsed/>
    <w:rsid w:val="00C51A3F"/>
    <w:rPr>
      <w:color w:val="0000FF" w:themeColor="hyperlink"/>
      <w:u w:val="single"/>
    </w:rPr>
  </w:style>
  <w:style w:type="character" w:styleId="Strong">
    <w:name w:val="Strong"/>
    <w:basedOn w:val="DefaultParagraphFont"/>
    <w:uiPriority w:val="22"/>
    <w:qFormat/>
    <w:rsid w:val="00644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7979">
      <w:bodyDiv w:val="1"/>
      <w:marLeft w:val="0"/>
      <w:marRight w:val="0"/>
      <w:marTop w:val="0"/>
      <w:marBottom w:val="0"/>
      <w:divBdr>
        <w:top w:val="none" w:sz="0" w:space="0" w:color="auto"/>
        <w:left w:val="none" w:sz="0" w:space="0" w:color="auto"/>
        <w:bottom w:val="none" w:sz="0" w:space="0" w:color="auto"/>
        <w:right w:val="none" w:sz="0" w:space="0" w:color="auto"/>
      </w:divBdr>
    </w:div>
    <w:div w:id="324358859">
      <w:bodyDiv w:val="1"/>
      <w:marLeft w:val="0"/>
      <w:marRight w:val="0"/>
      <w:marTop w:val="0"/>
      <w:marBottom w:val="0"/>
      <w:divBdr>
        <w:top w:val="none" w:sz="0" w:space="0" w:color="auto"/>
        <w:left w:val="none" w:sz="0" w:space="0" w:color="auto"/>
        <w:bottom w:val="none" w:sz="0" w:space="0" w:color="auto"/>
        <w:right w:val="none" w:sz="0" w:space="0" w:color="auto"/>
      </w:divBdr>
    </w:div>
    <w:div w:id="585960932">
      <w:bodyDiv w:val="1"/>
      <w:marLeft w:val="0"/>
      <w:marRight w:val="0"/>
      <w:marTop w:val="0"/>
      <w:marBottom w:val="0"/>
      <w:divBdr>
        <w:top w:val="none" w:sz="0" w:space="0" w:color="auto"/>
        <w:left w:val="none" w:sz="0" w:space="0" w:color="auto"/>
        <w:bottom w:val="none" w:sz="0" w:space="0" w:color="auto"/>
        <w:right w:val="none" w:sz="0" w:space="0" w:color="auto"/>
      </w:divBdr>
    </w:div>
    <w:div w:id="1025525049">
      <w:bodyDiv w:val="1"/>
      <w:marLeft w:val="0"/>
      <w:marRight w:val="0"/>
      <w:marTop w:val="0"/>
      <w:marBottom w:val="0"/>
      <w:divBdr>
        <w:top w:val="none" w:sz="0" w:space="0" w:color="auto"/>
        <w:left w:val="none" w:sz="0" w:space="0" w:color="auto"/>
        <w:bottom w:val="none" w:sz="0" w:space="0" w:color="auto"/>
        <w:right w:val="none" w:sz="0" w:space="0" w:color="auto"/>
      </w:divBdr>
    </w:div>
    <w:div w:id="1285035343">
      <w:bodyDiv w:val="1"/>
      <w:marLeft w:val="0"/>
      <w:marRight w:val="0"/>
      <w:marTop w:val="0"/>
      <w:marBottom w:val="0"/>
      <w:divBdr>
        <w:top w:val="none" w:sz="0" w:space="0" w:color="auto"/>
        <w:left w:val="none" w:sz="0" w:space="0" w:color="auto"/>
        <w:bottom w:val="none" w:sz="0" w:space="0" w:color="auto"/>
        <w:right w:val="none" w:sz="0" w:space="0" w:color="auto"/>
      </w:divBdr>
    </w:div>
    <w:div w:id="1794127263">
      <w:bodyDiv w:val="1"/>
      <w:marLeft w:val="0"/>
      <w:marRight w:val="0"/>
      <w:marTop w:val="0"/>
      <w:marBottom w:val="0"/>
      <w:divBdr>
        <w:top w:val="none" w:sz="0" w:space="0" w:color="auto"/>
        <w:left w:val="none" w:sz="0" w:space="0" w:color="auto"/>
        <w:bottom w:val="none" w:sz="0" w:space="0" w:color="auto"/>
        <w:right w:val="none" w:sz="0" w:space="0" w:color="auto"/>
      </w:divBdr>
    </w:div>
    <w:div w:id="1909458339">
      <w:bodyDiv w:val="1"/>
      <w:marLeft w:val="0"/>
      <w:marRight w:val="0"/>
      <w:marTop w:val="0"/>
      <w:marBottom w:val="0"/>
      <w:divBdr>
        <w:top w:val="none" w:sz="0" w:space="0" w:color="auto"/>
        <w:left w:val="none" w:sz="0" w:space="0" w:color="auto"/>
        <w:bottom w:val="none" w:sz="0" w:space="0" w:color="auto"/>
        <w:right w:val="none" w:sz="0" w:space="0" w:color="auto"/>
      </w:divBdr>
    </w:div>
    <w:div w:id="21387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bff@ccbff.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Wenhai Li</dc:creator>
  <cp:lastModifiedBy>Yixiang Huang</cp:lastModifiedBy>
  <cp:revision>2</cp:revision>
  <dcterms:created xsi:type="dcterms:W3CDTF">2023-03-29T07:17:00Z</dcterms:created>
  <dcterms:modified xsi:type="dcterms:W3CDTF">2023-03-29T07:17:00Z</dcterms:modified>
</cp:coreProperties>
</file>